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40" w:after="160"/>
      </w:pPr>
      <w:r>
        <w:rPr>
          <w:rFonts w:ascii="Calibri" w:hAnsi="Calibri"/>
          <w:b/>
          <w:color w:val="0B2545"/>
          <w:sz w:val="54"/>
        </w:rPr>
        <w:t>State Transition Protocol</w:t>
      </w:r>
    </w:p>
    <w:p>
      <w:pPr>
        <w:spacing w:after="360"/>
      </w:pPr>
      <w:r>
        <w:rPr>
          <w:rFonts w:ascii="Calibri" w:hAnsi="Calibri"/>
          <w:b w:val="0"/>
          <w:color w:val="2E74B5"/>
          <w:sz w:val="30"/>
        </w:rPr>
        <w:t>v1.2 Candidate: Concurrency, Consequence, and Exploration Profile</w:t>
      </w:r>
    </w:p>
    <w:tbl>
      <w:tblPr>
        <w:tblStyle w:val="TableGrid"/>
        <w:tblW w:type="dxa" w:w="9360"/>
        <w:jc w:val="left"/>
        <w:tblLayout w:type="fixed"/>
        <w:tblLook w:firstColumn="1" w:firstRow="1" w:lastColumn="0" w:lastRow="0" w:noHBand="0" w:noVBand="1" w:val="04A0"/>
        <w:tblInd w:w="120" w:type="dxa"/>
      </w:tblPr>
      <w:tblGrid>
        <w:gridCol w:w="2300"/>
        <w:gridCol w:w="7060"/>
      </w:tblGrid>
      <w:tr>
        <w:trPr>
          <w:trHeight w:hRule="atLeast"/>
          <w:tblHeader w:val="true"/>
          <w:cantSplit/>
        </w:trPr>
        <w:tc>
          <w:tcPr>
            <w:tcW w:type="dxa" w:w="2300"/>
            <w:shd w:fill="E8EEF5"/>
            <w:vAlign w:val="top"/>
            <w:tcMar>
              <w:top w:w="80" w:type="dxa"/>
              <w:start w:w="120" w:type="dxa"/>
              <w:bottom w:w="80" w:type="dxa"/>
              <w:end w:w="120" w:type="dxa"/>
            </w:tcMar>
          </w:tcPr>
          <w:p>
            <w:r>
              <w:rPr>
                <w:rFonts w:ascii="Calibri" w:hAnsi="Calibri"/>
                <w:b/>
                <w:color w:val="0B2545"/>
                <w:sz w:val="18"/>
              </w:rPr>
              <w:t>Document control</w:t>
            </w:r>
          </w:p>
        </w:tc>
        <w:tc>
          <w:tcPr>
            <w:tcW w:type="dxa" w:w="7060"/>
            <w:shd w:fill="E8EEF5"/>
            <w:vAlign w:val="top"/>
            <w:tcMar>
              <w:top w:w="80" w:type="dxa"/>
              <w:start w:w="120" w:type="dxa"/>
              <w:bottom w:w="80" w:type="dxa"/>
              <w:end w:w="120" w:type="dxa"/>
            </w:tcMar>
          </w:tcPr>
          <w:p>
            <w:r>
              <w:rPr>
                <w:rFonts w:ascii="Calibri" w:hAnsi="Calibri"/>
                <w:b/>
                <w:color w:val="0B2545"/>
                <w:sz w:val="18"/>
              </w:rPr>
              <w:t>Candidate value</w:t>
            </w:r>
          </w:p>
        </w:tc>
      </w:tr>
      <w:tr>
        <w:trPr>
          <w:cantSplit/>
          <w:trHeight w:hRule="atLeast"/>
        </w:trPr>
        <w:tc>
          <w:tcPr>
            <w:tcW w:type="dxa" w:w="2300"/>
            <w:shd w:fill="E8EEF5"/>
            <w:vAlign w:val="top"/>
            <w:tcMar>
              <w:top w:w="80" w:type="dxa"/>
              <w:start w:w="120" w:type="dxa"/>
              <w:bottom w:w="80" w:type="dxa"/>
              <w:end w:w="120" w:type="dxa"/>
            </w:tcMar>
          </w:tcPr>
          <w:p>
            <w:r>
              <w:rPr>
                <w:rFonts w:ascii="Calibri" w:hAnsi="Calibri"/>
                <w:b/>
                <w:color w:val="0B2545"/>
                <w:sz w:val="18"/>
              </w:rPr>
              <w:t>Status</w:t>
            </w:r>
          </w:p>
        </w:tc>
        <w:tc>
          <w:tcPr>
            <w:tcW w:type="dxa" w:w="7060"/>
            <w:vAlign w:val="top"/>
            <w:tcMar>
              <w:top w:w="80" w:type="dxa"/>
              <w:start w:w="120" w:type="dxa"/>
              <w:bottom w:w="80" w:type="dxa"/>
              <w:end w:w="120" w:type="dxa"/>
            </w:tcMar>
          </w:tcPr>
          <w:p>
            <w:r>
              <w:rPr>
                <w:rFonts w:ascii="Calibri" w:hAnsi="Calibri"/>
                <w:color w:val="000000"/>
                <w:sz w:val="18"/>
              </w:rPr>
              <w:t>PROPOSED; owner review required</w:t>
            </w:r>
          </w:p>
        </w:tc>
      </w:tr>
      <w:tr>
        <w:trPr>
          <w:cantSplit/>
          <w:trHeight w:hRule="atLeast"/>
        </w:trPr>
        <w:tc>
          <w:tcPr>
            <w:tcW w:type="dxa" w:w="2300"/>
            <w:shd w:fill="E8EEF5"/>
            <w:vAlign w:val="top"/>
            <w:tcMar>
              <w:top w:w="80" w:type="dxa"/>
              <w:start w:w="120" w:type="dxa"/>
              <w:bottom w:w="80" w:type="dxa"/>
              <w:end w:w="120" w:type="dxa"/>
            </w:tcMar>
          </w:tcPr>
          <w:p>
            <w:r>
              <w:rPr>
                <w:rFonts w:ascii="Calibri" w:hAnsi="Calibri"/>
                <w:b/>
                <w:color w:val="0B2545"/>
                <w:sz w:val="18"/>
              </w:rPr>
              <w:t>Baseline</w:t>
            </w:r>
          </w:p>
        </w:tc>
        <w:tc>
          <w:tcPr>
            <w:tcW w:type="dxa" w:w="7060"/>
            <w:vAlign w:val="top"/>
            <w:tcMar>
              <w:top w:w="80" w:type="dxa"/>
              <w:start w:w="120" w:type="dxa"/>
              <w:bottom w:w="80" w:type="dxa"/>
              <w:end w:w="120" w:type="dxa"/>
            </w:tcMar>
          </w:tcPr>
          <w:p>
            <w:r>
              <w:rPr>
                <w:rFonts w:ascii="Calibri" w:hAnsi="Calibri"/>
                <w:color w:val="000000"/>
                <w:sz w:val="18"/>
              </w:rPr>
              <w:t>STP v1.1 remains current; no silent supersession</w:t>
            </w:r>
          </w:p>
        </w:tc>
      </w:tr>
      <w:tr>
        <w:trPr>
          <w:cantSplit/>
          <w:trHeight w:hRule="atLeast"/>
        </w:trPr>
        <w:tc>
          <w:tcPr>
            <w:tcW w:type="dxa" w:w="2300"/>
            <w:shd w:fill="E8EEF5"/>
            <w:vAlign w:val="top"/>
            <w:tcMar>
              <w:top w:w="80" w:type="dxa"/>
              <w:start w:w="120" w:type="dxa"/>
              <w:bottom w:w="80" w:type="dxa"/>
              <w:end w:w="120" w:type="dxa"/>
            </w:tcMar>
          </w:tcPr>
          <w:p>
            <w:r>
              <w:rPr>
                <w:rFonts w:ascii="Calibri" w:hAnsi="Calibri"/>
                <w:b/>
                <w:color w:val="0B2545"/>
                <w:sz w:val="18"/>
              </w:rPr>
              <w:t>Artifact identity</w:t>
            </w:r>
          </w:p>
        </w:tc>
        <w:tc>
          <w:tcPr>
            <w:tcW w:type="dxa" w:w="7060"/>
            <w:vAlign w:val="top"/>
            <w:tcMar>
              <w:top w:w="80" w:type="dxa"/>
              <w:start w:w="120" w:type="dxa"/>
              <w:bottom w:w="80" w:type="dxa"/>
              <w:end w:w="120" w:type="dxa"/>
            </w:tcMar>
          </w:tcPr>
          <w:p>
            <w:r>
              <w:rPr>
                <w:rFonts w:ascii="Calibri" w:hAnsi="Calibri"/>
                <w:color w:val="000000"/>
                <w:sz w:val="18"/>
              </w:rPr>
              <w:t>Attached Ledger differs from the Ledger digest pinned by STP v1.1</w:t>
            </w:r>
          </w:p>
        </w:tc>
      </w:tr>
      <w:tr>
        <w:trPr>
          <w:cantSplit/>
          <w:trHeight w:hRule="atLeast"/>
        </w:trPr>
        <w:tc>
          <w:tcPr>
            <w:tcW w:type="dxa" w:w="2300"/>
            <w:shd w:fill="E8EEF5"/>
            <w:vAlign w:val="top"/>
            <w:tcMar>
              <w:top w:w="80" w:type="dxa"/>
              <w:start w:w="120" w:type="dxa"/>
              <w:bottom w:w="80" w:type="dxa"/>
              <w:end w:w="120" w:type="dxa"/>
            </w:tcMar>
          </w:tcPr>
          <w:p>
            <w:r>
              <w:rPr>
                <w:rFonts w:ascii="Calibri" w:hAnsi="Calibri"/>
                <w:b/>
                <w:color w:val="0B2545"/>
                <w:sz w:val="18"/>
              </w:rPr>
              <w:t>Verification</w:t>
            </w:r>
          </w:p>
        </w:tc>
        <w:tc>
          <w:tcPr>
            <w:tcW w:type="dxa" w:w="7060"/>
            <w:vAlign w:val="top"/>
            <w:tcMar>
              <w:top w:w="80" w:type="dxa"/>
              <w:start w:w="120" w:type="dxa"/>
              <w:bottom w:w="80" w:type="dxa"/>
              <w:end w:w="120" w:type="dxa"/>
            </w:tcMar>
          </w:tcPr>
          <w:p>
            <w:r>
              <w:rPr>
                <w:rFonts w:ascii="Calibri" w:hAnsi="Calibri"/>
                <w:color w:val="000000"/>
                <w:sz w:val="18"/>
              </w:rPr>
              <w:t>Dual JavaScript/Python synthetic conformance harness</w:t>
            </w:r>
          </w:p>
        </w:tc>
      </w:tr>
      <w:tr>
        <w:trPr>
          <w:cantSplit/>
          <w:trHeight w:hRule="atLeast"/>
        </w:trPr>
        <w:tc>
          <w:tcPr>
            <w:tcW w:type="dxa" w:w="2300"/>
            <w:shd w:fill="E8EEF5"/>
            <w:vAlign w:val="top"/>
            <w:tcMar>
              <w:top w:w="80" w:type="dxa"/>
              <w:start w:w="120" w:type="dxa"/>
              <w:bottom w:w="80" w:type="dxa"/>
              <w:end w:w="120" w:type="dxa"/>
            </w:tcMar>
          </w:tcPr>
          <w:p>
            <w:r>
              <w:rPr>
                <w:rFonts w:ascii="Calibri" w:hAnsi="Calibri"/>
                <w:b/>
                <w:color w:val="0B2545"/>
                <w:sz w:val="18"/>
              </w:rPr>
              <w:t>Date</w:t>
            </w:r>
          </w:p>
        </w:tc>
        <w:tc>
          <w:tcPr>
            <w:tcW w:type="dxa" w:w="7060"/>
            <w:vAlign w:val="top"/>
            <w:tcMar>
              <w:top w:w="80" w:type="dxa"/>
              <w:start w:w="120" w:type="dxa"/>
              <w:bottom w:w="80" w:type="dxa"/>
              <w:end w:w="120" w:type="dxa"/>
            </w:tcMar>
          </w:tcPr>
          <w:p>
            <w:r>
              <w:rPr>
                <w:rFonts w:ascii="Calibri" w:hAnsi="Calibri"/>
                <w:color w:val="000000"/>
                <w:sz w:val="18"/>
              </w:rPr>
              <w:t>2026-08-12</w:t>
            </w:r>
          </w:p>
        </w:tc>
      </w:tr>
    </w:tbl>
    <w:p>
      <w:pPr>
        <w:spacing w:before="400" w:after="160"/>
      </w:pPr>
      <w:r>
        <w:rPr>
          <w:rFonts w:ascii="Calibri" w:hAnsi="Calibri"/>
          <w:b/>
          <w:color w:val="0B2545"/>
          <w:sz w:val="22"/>
        </w:rPr>
        <w:t>Candidate thesis</w:t>
      </w:r>
    </w:p>
    <w:p>
      <w:pPr>
        <w:shd w:fill="F4F6F9"/>
        <w:pBdr>
          <w:left w:val="single" w:sz="18" w:space="7" w:color="7A5A00"/>
        </w:pBdr>
      </w:pPr>
      <w:r>
        <w:rPr>
          <w:rFonts w:ascii="Calibri" w:hAnsi="Calibri"/>
          <w:color w:val="000000"/>
          <w:sz w:val="22"/>
        </w:rPr>
        <w:t>Probabilistic systems may explore broadly. Deterministic, versioned gates control consequences. Independent observation records what happened. Append-only receipts preserve attempts and outcomes. Consequential autonomy increases only when observation, settlement, and recovery capacity are measured in the same unit and remain within bound.</w:t>
      </w:r>
    </w:p>
    <w:p>
      <w:pPr>
        <w:spacing w:before="520"/>
      </w:pPr>
      <w:r>
        <w:rPr>
          <w:rFonts w:ascii="Calibri" w:hAnsi="Calibri"/>
          <w:b/>
          <w:color w:val="9B1C1C"/>
          <w:sz w:val="18"/>
        </w:rPr>
        <w:t>This is a proposal and research instrument, not a certification, deployment authorization, or accepted replacement for STP v1.1.</w:t>
      </w:r>
    </w:p>
    <w:p>
      <w:r>
        <w:br w:type="page"/>
      </w:r>
    </w:p>
    <w:p>
      <w:pPr>
        <w:pStyle w:val="Heading2"/>
      </w:pPr>
      <w:r>
        <w:rPr>
          <w:rFonts w:ascii="Calibri" w:hAnsi="Calibri"/>
          <w:b/>
          <w:color w:val="2E74B5"/>
          <w:sz w:val="26"/>
        </w:rPr>
        <w:t>Concurrency, consequence, and exploration profile</w:t>
      </w:r>
    </w:p>
    <w:p>
      <w:r>
        <w:rPr>
          <w:rFonts w:ascii="Calibri" w:hAnsi="Calibri"/>
          <w:color w:val="000000"/>
          <w:sz w:val="22"/>
        </w:rPr>
        <w:t>Status: PROPOSED. This document does not supersede STP v1.1, accept a new ledger, authorize live effects, or publish research. Owner review is required.</w:t>
      </w:r>
    </w:p>
    <w:p>
      <w:pPr>
        <w:pStyle w:val="Heading2"/>
      </w:pPr>
      <w:r>
        <w:rPr>
          <w:rFonts w:ascii="Calibri" w:hAnsi="Calibri"/>
          <w:b/>
          <w:color w:val="2E74B5"/>
          <w:sz w:val="26"/>
        </w:rPr>
        <w:t>Abstract</w:t>
      </w:r>
    </w:p>
    <w:p>
      <w:r>
        <w:rPr>
          <w:rFonts w:ascii="Calibri" w:hAnsi="Calibri"/>
          <w:color w:val="000000"/>
          <w:sz w:val="22"/>
        </w:rPr>
        <w:t>STP separates creative exploration from consequential authority. A model, optimizer, person, or agent may generate proposals broadly. A versioned deterministic gate decides whether a proposal may advance toward an external effect or accepted-state change. Independent observation records what happened. A pinned reducer derives the accepted projection from append-only receipts.</w:t>
      </w:r>
    </w:p>
    <w:p>
      <w:r>
        <w:rPr>
          <w:rFonts w:ascii="Calibri" w:hAnsi="Calibri"/>
          <w:color w:val="000000"/>
          <w:sz w:val="22"/>
        </w:rPr>
        <w:t>This candidate adds the missing boundaries for concurrent deltas, external effect finality, downstream capacity, deterministic drift measurement, and mathematical correspondence. It preserves uncertainty rather than converting missing evidence into a pass or failure. It treats every theorem and analogy as scoped to its source model and assumptions.</w:t>
      </w:r>
    </w:p>
    <w:p>
      <w:pPr>
        <w:pStyle w:val="Heading2"/>
      </w:pPr>
      <w:r>
        <w:rPr>
          <w:rFonts w:ascii="Calibri" w:hAnsi="Calibri"/>
          <w:b/>
          <w:color w:val="2E74B5"/>
          <w:sz w:val="26"/>
        </w:rPr>
        <w:t>1. Authority and claim boundary</w:t>
      </w:r>
    </w:p>
    <w:p>
      <w:r>
        <w:rPr>
          <w:rFonts w:ascii="Calibri" w:hAnsi="Calibri"/>
          <w:color w:val="000000"/>
          <w:sz w:val="22"/>
        </w:rPr>
        <w:t>STP v1.1 remains the current baseline. This candidate is a change proposal. Agents may extract, compare, simulate, falsify, and propose. Only a named owner or delegated authority may accept the candidate, authorize a consequential transition, acknowledge a named risk, or publish a release.</w:t>
      </w:r>
    </w:p>
    <w:p>
      <w:r>
        <w:rPr>
          <w:rFonts w:ascii="Calibri" w:hAnsi="Calibri"/>
          <w:color w:val="000000"/>
          <w:sz w:val="22"/>
        </w:rPr>
        <w:t>The attached Calibration Ledger v8 is not byte-identical to the Ledger digest pinned by STP v1.1. This candidate does not treat it as the accepted Ledger, an alias, or a superseding artifact.</w:t>
      </w:r>
    </w:p>
    <w:p>
      <w:pPr>
        <w:pStyle w:val="Heading2"/>
      </w:pPr>
      <w:r>
        <w:rPr>
          <w:rFonts w:ascii="Calibri" w:hAnsi="Calibri"/>
          <w:b/>
          <w:color w:val="2E74B5"/>
          <w:sz w:val="26"/>
        </w:rPr>
        <w:t>2. Plain Technical English</w:t>
      </w:r>
    </w:p>
    <w:p>
      <w:r>
        <w:rPr>
          <w:rFonts w:ascii="Calibri" w:hAnsi="Calibri"/>
          <w:color w:val="000000"/>
          <w:sz w:val="22"/>
        </w:rPr>
        <w:t>Let probabilistic systems explore widely inside declared sandboxes. Let a deterministic gate control which proposals can produce consequences. Let an independent witness determine what was observed. Let an append-only ledger preserve attempts, refusals, unknown effects, observations, corrections, and accepted decisions. Increase consequential autonomy only when observation, settlement, and recovery can demonstrably keep pace in the same declared unit.</w:t>
      </w:r>
    </w:p>
    <w:p>
      <w:r>
        <w:rPr>
          <w:rFonts w:ascii="Calibri" w:hAnsi="Calibri"/>
          <w:color w:val="000000"/>
          <w:sz w:val="22"/>
        </w:rPr>
        <w:t>The gate can prove that its pinned procedure ran over pinned inputs. It cannot, by itself, prove that a source is truthful, that an authority is legitimate, that a sensor describes the full world, or that a mathematical theorem applies outside its assumptions.</w:t>
      </w:r>
    </w:p>
    <w:p>
      <w:pPr>
        <w:pStyle w:val="Heading2"/>
      </w:pPr>
      <w:r>
        <w:rPr>
          <w:rFonts w:ascii="Calibri" w:hAnsi="Calibri"/>
          <w:b/>
          <w:color w:val="2E74B5"/>
          <w:sz w:val="26"/>
        </w:rPr>
        <w:t>3. Formal objects and notation</w:t>
      </w:r>
    </w:p>
    <w:p>
      <w:r>
        <w:rPr>
          <w:rFonts w:ascii="Calibri" w:hAnsi="Calibri"/>
          <w:color w:val="000000"/>
          <w:sz w:val="22"/>
        </w:rPr>
        <w:t xml:space="preserve">For transition step </w:t>
      </w:r>
      <w:r>
        <w:rPr>
          <w:rFonts w:ascii="Consolas" w:hAnsi="Consolas"/>
          <w:color w:val="000000"/>
          <w:sz w:val="18"/>
        </w:rPr>
        <w:t>k</w:t>
      </w:r>
      <w:r>
        <w:rPr>
          <w:rFonts w:ascii="Calibri" w:hAnsi="Calibri"/>
          <w:color w:val="000000"/>
          <w:sz w:val="22"/>
        </w:rPr>
        <w:t>:</w:t>
      </w:r>
    </w:p>
    <w:p>
      <w:pPr>
        <w:pStyle w:val="ListBullet"/>
      </w:pPr>
      <w:r>
        <w:rPr>
          <w:rFonts w:ascii="Consolas" w:hAnsi="Consolas"/>
          <w:color w:val="000000"/>
          <w:sz w:val="18"/>
        </w:rPr>
        <w:t>L_k</w:t>
      </w:r>
      <w:r>
        <w:rPr>
          <w:rFonts w:ascii="Calibri" w:hAnsi="Calibri"/>
          <w:color w:val="000000"/>
          <w:sz w:val="22"/>
        </w:rPr>
        <w:t xml:space="preserve"> is the valid append-only receipt prefix through sequence </w:t>
      </w:r>
      <w:r>
        <w:rPr>
          <w:rFonts w:ascii="Consolas" w:hAnsi="Consolas"/>
          <w:color w:val="000000"/>
          <w:sz w:val="18"/>
        </w:rPr>
        <w:t>k</w:t>
      </w:r>
      <w:r>
        <w:rPr>
          <w:rFonts w:ascii="Calibri" w:hAnsi="Calibri"/>
          <w:color w:val="000000"/>
          <w:sz w:val="22"/>
        </w:rPr>
        <w:t>.</w:t>
      </w:r>
    </w:p>
    <w:p>
      <w:pPr>
        <w:pStyle w:val="ListBullet"/>
      </w:pPr>
      <w:r>
        <w:rPr>
          <w:rFonts w:ascii="Consolas" w:hAnsi="Consolas"/>
          <w:color w:val="000000"/>
          <w:sz w:val="18"/>
        </w:rPr>
        <w:t>A_k = R_P(L_k)</w:t>
      </w:r>
      <w:r>
        <w:rPr>
          <w:rFonts w:ascii="Calibri" w:hAnsi="Calibri"/>
          <w:color w:val="000000"/>
          <w:sz w:val="22"/>
        </w:rPr>
        <w:t xml:space="preserve"> is the accepted projection produced by reducer </w:t>
      </w:r>
      <w:r>
        <w:rPr>
          <w:rFonts w:ascii="Consolas" w:hAnsi="Consolas"/>
          <w:color w:val="000000"/>
          <w:sz w:val="18"/>
        </w:rPr>
        <w:t>R</w:t>
      </w:r>
      <w:r>
        <w:rPr>
          <w:rFonts w:ascii="Calibri" w:hAnsi="Calibri"/>
          <w:color w:val="000000"/>
          <w:sz w:val="22"/>
        </w:rPr>
        <w:t xml:space="preserve"> under</w:t>
      </w:r>
    </w:p>
    <w:p>
      <w:r>
        <w:rPr>
          <w:rFonts w:ascii="Calibri" w:hAnsi="Calibri"/>
          <w:color w:val="000000"/>
          <w:sz w:val="22"/>
        </w:rPr>
        <w:t xml:space="preserve">pinned policy </w:t>
      </w:r>
      <w:r>
        <w:rPr>
          <w:rFonts w:ascii="Consolas" w:hAnsi="Consolas"/>
          <w:color w:val="000000"/>
          <w:sz w:val="18"/>
        </w:rPr>
        <w:t>P</w:t>
      </w:r>
      <w:r>
        <w:rPr>
          <w:rFonts w:ascii="Calibri" w:hAnsi="Calibri"/>
          <w:color w:val="000000"/>
          <w:sz w:val="22"/>
        </w:rPr>
        <w:t>.</w:t>
      </w:r>
    </w:p>
    <w:p>
      <w:pPr>
        <w:pStyle w:val="ListBullet"/>
      </w:pPr>
      <w:r>
        <w:rPr>
          <w:rFonts w:ascii="Consolas" w:hAnsi="Consolas"/>
          <w:color w:val="000000"/>
          <w:sz w:val="18"/>
        </w:rPr>
        <w:t>delta_k</w:t>
      </w:r>
      <w:r>
        <w:rPr>
          <w:rFonts w:ascii="Calibri" w:hAnsi="Calibri"/>
          <w:color w:val="000000"/>
          <w:sz w:val="22"/>
        </w:rPr>
        <w:t xml:space="preserve"> is a typed candidate delta.</w:t>
      </w:r>
    </w:p>
    <w:p>
      <w:pPr>
        <w:pStyle w:val="ListBullet"/>
      </w:pPr>
      <w:r>
        <w:rPr>
          <w:rFonts w:ascii="Consolas" w:hAnsi="Consolas"/>
          <w:color w:val="000000"/>
          <w:sz w:val="18"/>
        </w:rPr>
        <w:t>E_k</w:t>
      </w:r>
      <w:r>
        <w:rPr>
          <w:rFonts w:ascii="Calibri" w:hAnsi="Calibri"/>
          <w:color w:val="000000"/>
          <w:sz w:val="22"/>
        </w:rPr>
        <w:t xml:space="preserve"> is the declared evidence set available to the gate.</w:t>
      </w:r>
    </w:p>
    <w:p>
      <w:pPr>
        <w:pStyle w:val="ListBullet"/>
      </w:pPr>
      <w:r>
        <w:rPr>
          <w:rFonts w:ascii="Consolas" w:hAnsi="Consolas"/>
          <w:color w:val="000000"/>
          <w:sz w:val="18"/>
        </w:rPr>
        <w:t>W_k</w:t>
      </w:r>
      <w:r>
        <w:rPr>
          <w:rFonts w:ascii="Calibri" w:hAnsi="Calibri"/>
          <w:color w:val="000000"/>
          <w:sz w:val="22"/>
        </w:rPr>
        <w:t xml:space="preserve"> is the external world state. STP does not assume full access to it.</w:t>
      </w:r>
    </w:p>
    <w:p>
      <w:pPr>
        <w:pStyle w:val="ListBullet"/>
      </w:pPr>
      <w:r>
        <w:rPr>
          <w:rFonts w:ascii="Consolas" w:hAnsi="Consolas"/>
          <w:color w:val="000000"/>
          <w:sz w:val="18"/>
        </w:rPr>
        <w:t>O_k</w:t>
      </w:r>
      <w:r>
        <w:rPr>
          <w:rFonts w:ascii="Calibri" w:hAnsi="Calibri"/>
          <w:color w:val="000000"/>
          <w:sz w:val="22"/>
        </w:rPr>
        <w:t xml:space="preserve"> is a scoped observation record, including coverage and uncertainty.</w:t>
      </w:r>
    </w:p>
    <w:p>
      <w:pPr>
        <w:pStyle w:val="ListBullet"/>
      </w:pPr>
      <w:r>
        <w:rPr>
          <w:rFonts w:ascii="Consolas" w:hAnsi="Consolas"/>
          <w:color w:val="000000"/>
          <w:sz w:val="18"/>
        </w:rPr>
        <w:t>X_k</w:t>
      </w:r>
      <w:r>
        <w:rPr>
          <w:rFonts w:ascii="Calibri" w:hAnsi="Calibri"/>
          <w:color w:val="000000"/>
          <w:sz w:val="22"/>
        </w:rPr>
        <w:t xml:space="preserve"> is the ordered external-effect trace for the declared scope.</w:t>
      </w:r>
    </w:p>
    <w:p>
      <w:r>
        <w:rPr>
          <w:rFonts w:ascii="Calibri" w:hAnsi="Calibri"/>
          <w:color w:val="000000"/>
          <w:sz w:val="22"/>
        </w:rPr>
        <w:t>A probabilistic proposer can be represented as:</w:t>
      </w:r>
    </w:p>
    <w:p>
      <w:r>
        <w:rPr>
          <w:rFonts w:ascii="Consolas" w:hAnsi="Consolas"/>
          <w:color w:val="000000"/>
          <w:sz w:val="18"/>
        </w:rPr>
        <w:t>delta_k ~ pi_theta(A_k, O_&lt;=k, H_k)</w:t>
      </w:r>
      <w:r>
        <w:rPr>
          <w:rFonts w:ascii="Calibri" w:hAnsi="Calibri"/>
          <w:color w:val="000000"/>
          <w:sz w:val="22"/>
        </w:rPr>
        <w:t xml:space="preserve">  (1)</w:t>
      </w:r>
    </w:p>
    <w:p>
      <w:r>
        <w:rPr>
          <w:rFonts w:ascii="Calibri" w:hAnsi="Calibri"/>
          <w:color w:val="000000"/>
          <w:sz w:val="22"/>
        </w:rPr>
        <w:t>Equation (1) is a model of candidate generation, not a protocol guarantee. STP does not require a probabilistic proposer and does not infer authority from the distribution.</w:t>
      </w:r>
    </w:p>
    <w:p>
      <w:r>
        <w:rPr>
          <w:rFonts w:ascii="Calibri" w:hAnsi="Calibri"/>
          <w:color w:val="000000"/>
          <w:sz w:val="22"/>
        </w:rPr>
        <w:t>The gate is:</w:t>
      </w:r>
    </w:p>
    <w:p>
      <w:r>
        <w:rPr>
          <w:rFonts w:ascii="Consolas" w:hAnsi="Consolas"/>
          <w:color w:val="000000"/>
          <w:sz w:val="18"/>
        </w:rPr>
        <w:t>g_k = G_P(A_k, delta_k, E_k)</w:t>
      </w:r>
      <w:r>
        <w:rPr>
          <w:rFonts w:ascii="Calibri" w:hAnsi="Calibri"/>
          <w:color w:val="000000"/>
          <w:sz w:val="22"/>
        </w:rPr>
        <w:t xml:space="preserve">  (2)</w:t>
      </w:r>
    </w:p>
    <w:p>
      <w:r>
        <w:rPr>
          <w:rFonts w:ascii="Calibri" w:hAnsi="Calibri"/>
          <w:color w:val="000000"/>
          <w:sz w:val="22"/>
        </w:rPr>
        <w:t xml:space="preserve">with codomain </w:t>
      </w:r>
      <w:r>
        <w:rPr>
          <w:rFonts w:ascii="Consolas" w:hAnsi="Consolas"/>
          <w:color w:val="000000"/>
          <w:sz w:val="18"/>
        </w:rPr>
        <w:t>{PASS, REFUSE, UNRESOLVED}</w:t>
      </w:r>
      <w:r>
        <w:rPr>
          <w:rFonts w:ascii="Calibri" w:hAnsi="Calibri"/>
          <w:color w:val="000000"/>
          <w:sz w:val="22"/>
        </w:rPr>
        <w:t xml:space="preserve">. </w:t>
      </w:r>
      <w:r>
        <w:rPr>
          <w:rFonts w:ascii="Consolas" w:hAnsi="Consolas"/>
          <w:color w:val="000000"/>
          <w:sz w:val="18"/>
        </w:rPr>
        <w:t>G_P</w:t>
      </w:r>
      <w:r>
        <w:rPr>
          <w:rFonts w:ascii="Calibri" w:hAnsi="Calibri"/>
          <w:color w:val="000000"/>
          <w:sz w:val="22"/>
        </w:rPr>
        <w:t xml:space="preserve"> is deterministic only when its policy bytes, schema versions, canonicalization, input bytes, and evaluator version are pinned and independently replayable.</w:t>
      </w:r>
    </w:p>
    <w:p>
      <w:r>
        <w:rPr>
          <w:rFonts w:ascii="Calibri" w:hAnsi="Calibri"/>
          <w:color w:val="000000"/>
          <w:sz w:val="22"/>
        </w:rPr>
        <w:t>An external transition may be represented as:</w:t>
      </w:r>
    </w:p>
    <w:p>
      <w:r>
        <w:rPr>
          <w:rFonts w:ascii="Consolas" w:hAnsi="Consolas"/>
          <w:color w:val="000000"/>
          <w:sz w:val="18"/>
        </w:rPr>
        <w:t>W_{k+1} ~ F(W_k, Exec(delta_k), xi_k)</w:t>
      </w:r>
      <w:r>
        <w:rPr>
          <w:rFonts w:ascii="Calibri" w:hAnsi="Calibri"/>
          <w:color w:val="000000"/>
          <w:sz w:val="22"/>
        </w:rPr>
        <w:t xml:space="preserve">  (3)</w:t>
      </w:r>
    </w:p>
    <w:p>
      <w:r>
        <w:rPr>
          <w:rFonts w:ascii="Calibri" w:hAnsi="Calibri"/>
          <w:color w:val="000000"/>
          <w:sz w:val="22"/>
        </w:rPr>
        <w:t xml:space="preserve">where </w:t>
      </w:r>
      <w:r>
        <w:rPr>
          <w:rFonts w:ascii="Consolas" w:hAnsi="Consolas"/>
          <w:color w:val="000000"/>
          <w:sz w:val="18"/>
        </w:rPr>
        <w:t>xi_k</w:t>
      </w:r>
      <w:r>
        <w:rPr>
          <w:rFonts w:ascii="Calibri" w:hAnsi="Calibri"/>
          <w:color w:val="000000"/>
          <w:sz w:val="22"/>
        </w:rPr>
        <w:t xml:space="preserve"> names unmodeled disturbance or uncertainty. Equation (3) makes no claim that STP predicts the world.</w:t>
      </w:r>
    </w:p>
    <w:p>
      <w:r>
        <w:rPr>
          <w:rFonts w:ascii="Calibri" w:hAnsi="Calibri"/>
          <w:color w:val="000000"/>
          <w:sz w:val="22"/>
        </w:rPr>
        <w:t>Observation and accepted projection remain separate:</w:t>
      </w:r>
    </w:p>
    <w:p>
      <w:r>
        <w:rPr>
          <w:rFonts w:ascii="Consolas" w:hAnsi="Consolas"/>
          <w:color w:val="000000"/>
          <w:sz w:val="18"/>
        </w:rPr>
        <w:t>O_{k+1} = M(W_{k+1}; coverage, freshness, error_model)</w:t>
      </w:r>
      <w:r>
        <w:rPr>
          <w:rFonts w:ascii="Calibri" w:hAnsi="Calibri"/>
          <w:color w:val="000000"/>
          <w:sz w:val="22"/>
        </w:rPr>
        <w:t xml:space="preserve">  (4)</w:t>
      </w:r>
    </w:p>
    <w:p>
      <w:r>
        <w:rPr>
          <w:rFonts w:ascii="Consolas" w:hAnsi="Consolas"/>
          <w:color w:val="000000"/>
          <w:sz w:val="18"/>
        </w:rPr>
        <w:t>A_{k+1} = R_P(L_{&lt;=k+1})</w:t>
      </w:r>
      <w:r>
        <w:rPr>
          <w:rFonts w:ascii="Calibri" w:hAnsi="Calibri"/>
          <w:color w:val="000000"/>
          <w:sz w:val="22"/>
        </w:rPr>
        <w:t xml:space="preserve">  (5)</w:t>
      </w:r>
    </w:p>
    <w:p>
      <w:r>
        <w:rPr>
          <w:rFonts w:ascii="Calibri" w:hAnsi="Calibri"/>
          <w:color w:val="000000"/>
          <w:sz w:val="22"/>
        </w:rPr>
        <w:t>An observation may be partial, unavailable, stale, invalid, or conflicting. An accepted projection is a governance state under named authority. Neither is an alias for the full world state or a control-theory state estimate [S01, S05].</w:t>
      </w:r>
    </w:p>
    <w:p>
      <w:pPr>
        <w:pStyle w:val="Heading2"/>
      </w:pPr>
      <w:r>
        <w:rPr>
          <w:rFonts w:ascii="Calibri" w:hAnsi="Calibri"/>
          <w:b/>
          <w:color w:val="2E74B5"/>
          <w:sz w:val="26"/>
        </w:rPr>
        <w:t>4. Consequence path and separate receipts</w:t>
      </w:r>
    </w:p>
    <w:p>
      <w:r>
        <w:rPr>
          <w:rFonts w:ascii="Calibri" w:hAnsi="Calibri"/>
          <w:color w:val="000000"/>
          <w:sz w:val="22"/>
        </w:rPr>
        <w:t>The v1.1 function sequence is retained:</w:t>
      </w:r>
    </w:p>
    <w:p>
      <w:pPr>
        <w:pStyle w:val="CodeBlock"/>
        <w:shd w:fill="F4F6F9"/>
        <w:pBdr>
          <w:left w:val="single" w:sz="18" w:space="7" w:color="1F4D78"/>
        </w:pBdr>
      </w:pPr>
      <w:r>
        <w:rPr>
          <w:rFonts w:ascii="Calibri" w:hAnsi="Calibri"/>
          <w:color w:val="000000"/>
          <w:sz w:val="22"/>
        </w:rPr>
        <w:t>PROPOSE -&gt; NORMALIZE -&gt; CHECK -&gt; AUTHORIZE -&gt; PREPARE -&gt; EXECUTE -&gt; OBSERVE -&gt; ACCEPT -&gt; OUTCOME -&gt; CORRECT</w:t>
      </w:r>
    </w:p>
    <w:p>
      <w:r>
        <w:rPr>
          <w:rFonts w:ascii="Calibri" w:hAnsi="Calibri"/>
          <w:color w:val="000000"/>
          <w:sz w:val="22"/>
        </w:rPr>
        <w:t xml:space="preserve">Simulation and adversarial testing are evidence receipts attached to </w:t>
      </w:r>
      <w:r>
        <w:rPr>
          <w:rFonts w:ascii="Consolas" w:hAnsi="Consolas"/>
          <w:color w:val="000000"/>
          <w:sz w:val="18"/>
        </w:rPr>
        <w:t>CHECK</w:t>
      </w:r>
      <w:r>
        <w:rPr>
          <w:rFonts w:ascii="Calibri" w:hAnsi="Calibri"/>
          <w:color w:val="000000"/>
          <w:sz w:val="22"/>
        </w:rPr>
        <w:t>. They are not new top-level state axes. Every phase emits its own receipt. A proposal, check, authority decision, dispatch, observation, acceptance, and outcome review must not be collapsed into one success record.</w:t>
      </w:r>
    </w:p>
    <w:p>
      <w:r>
        <w:rPr>
          <w:rFonts w:ascii="Calibri" w:hAnsi="Calibri"/>
          <w:color w:val="000000"/>
          <w:sz w:val="22"/>
        </w:rPr>
        <w:t>The minimum effect finality values are:</w:t>
      </w:r>
    </w:p>
    <w:tbl>
      <w:tblPr>
        <w:tblStyle w:val="TableGrid"/>
        <w:tblW w:type="dxa" w:w="9360"/>
        <w:jc w:val="left"/>
        <w:tblLayout w:type="fixed"/>
        <w:tblLook w:firstColumn="1" w:firstRow="1" w:lastColumn="0" w:lastRow="0" w:noHBand="0" w:noVBand="1" w:val="04A0"/>
        <w:tblInd w:w="120" w:type="dxa"/>
      </w:tblPr>
      <w:tblGrid>
        <w:gridCol w:w="2700"/>
        <w:gridCol w:w="6660"/>
      </w:tblGrid>
      <w:tr>
        <w:trPr>
          <w:trHeight w:hRule="atLeast"/>
          <w:tblHeader w:val="true"/>
          <w:cantSplit/>
        </w:trPr>
        <w:tc>
          <w:tcPr>
            <w:tcW w:type="dxa" w:w="2700"/>
            <w:shd w:fill="E8EEF5"/>
            <w:vAlign w:val="top"/>
            <w:tcMar>
              <w:top w:w="80" w:type="dxa"/>
              <w:start w:w="120" w:type="dxa"/>
              <w:bottom w:w="80" w:type="dxa"/>
              <w:end w:w="120" w:type="dxa"/>
            </w:tcMar>
          </w:tcPr>
          <w:p>
            <w:pPr>
              <w:spacing w:after="0" w:line="240" w:lineRule="auto"/>
            </w:pPr>
            <w:r>
              <w:rPr>
                <w:rFonts w:ascii="Calibri" w:hAnsi="Calibri"/>
                <w:b/>
                <w:color w:val="0B2545"/>
                <w:sz w:val="18"/>
              </w:rPr>
              <w:t>Finality</w:t>
            </w:r>
          </w:p>
        </w:tc>
        <w:tc>
          <w:tcPr>
            <w:tcW w:type="dxa" w:w="6660"/>
            <w:shd w:fill="E8EEF5"/>
            <w:vAlign w:val="top"/>
            <w:tcMar>
              <w:top w:w="80" w:type="dxa"/>
              <w:start w:w="120" w:type="dxa"/>
              <w:bottom w:w="80" w:type="dxa"/>
              <w:end w:w="120" w:type="dxa"/>
            </w:tcMar>
          </w:tcPr>
          <w:p>
            <w:pPr>
              <w:spacing w:after="0" w:line="240" w:lineRule="auto"/>
            </w:pPr>
            <w:r>
              <w:rPr>
                <w:rFonts w:ascii="Calibri" w:hAnsi="Calibri"/>
                <w:b/>
                <w:color w:val="0B2545"/>
                <w:sz w:val="18"/>
              </w:rPr>
              <w:t>Meaning</w:t>
            </w:r>
          </w:p>
        </w:tc>
      </w:tr>
      <w:tr>
        <w:trPr>
          <w:cantSplit/>
          <w:trHeight w:hRule="atLeast"/>
        </w:trPr>
        <w:tc>
          <w:tcPr>
            <w:tcW w:type="dxa" w:w="2700"/>
            <w:vAlign w:val="top"/>
            <w:tcMar>
              <w:top w:w="80" w:type="dxa"/>
              <w:start w:w="120" w:type="dxa"/>
              <w:bottom w:w="80" w:type="dxa"/>
              <w:end w:w="120" w:type="dxa"/>
            </w:tcMar>
          </w:tcPr>
          <w:p>
            <w:pPr>
              <w:spacing w:after="0" w:line="240" w:lineRule="auto"/>
            </w:pPr>
            <w:r>
              <w:rPr>
                <w:rFonts w:ascii="Consolas" w:hAnsi="Consolas"/>
                <w:color w:val="000000"/>
                <w:sz w:val="18"/>
              </w:rPr>
              <w:t>PREPARED</w:t>
            </w:r>
          </w:p>
        </w:tc>
        <w:tc>
          <w:tcPr>
            <w:tcW w:type="dxa" w:w="6660"/>
            <w:vAlign w:val="top"/>
            <w:tcMar>
              <w:top w:w="80" w:type="dxa"/>
              <w:start w:w="120" w:type="dxa"/>
              <w:bottom w:w="80" w:type="dxa"/>
              <w:end w:w="120" w:type="dxa"/>
            </w:tcMar>
          </w:tcPr>
          <w:p>
            <w:pPr>
              <w:spacing w:after="0" w:line="240" w:lineRule="auto"/>
            </w:pPr>
            <w:r>
              <w:rPr>
                <w:rFonts w:ascii="Calibri" w:hAnsi="Calibri"/>
                <w:color w:val="000000"/>
                <w:sz w:val="18"/>
              </w:rPr>
              <w:t>Preconditions and authority were checked, but no dispatch is recorded.</w:t>
            </w:r>
          </w:p>
        </w:tc>
      </w:tr>
      <w:tr>
        <w:trPr>
          <w:cantSplit/>
          <w:trHeight w:hRule="atLeast"/>
        </w:trPr>
        <w:tc>
          <w:tcPr>
            <w:tcW w:type="dxa" w:w="2700"/>
            <w:shd w:fill="F2F4F7"/>
            <w:vAlign w:val="top"/>
            <w:tcMar>
              <w:top w:w="80" w:type="dxa"/>
              <w:start w:w="120" w:type="dxa"/>
              <w:bottom w:w="80" w:type="dxa"/>
              <w:end w:w="120" w:type="dxa"/>
            </w:tcMar>
          </w:tcPr>
          <w:p>
            <w:pPr>
              <w:spacing w:after="0" w:line="240" w:lineRule="auto"/>
            </w:pPr>
            <w:r>
              <w:rPr>
                <w:rFonts w:ascii="Consolas" w:hAnsi="Consolas"/>
                <w:color w:val="000000"/>
                <w:sz w:val="18"/>
              </w:rPr>
              <w:t>DISPATCHED</w:t>
            </w:r>
          </w:p>
        </w:tc>
        <w:tc>
          <w:tcPr>
            <w:tcW w:type="dxa" w:w="6660"/>
            <w:shd w:fill="F2F4F7"/>
            <w:vAlign w:val="top"/>
            <w:tcMar>
              <w:top w:w="80" w:type="dxa"/>
              <w:start w:w="120" w:type="dxa"/>
              <w:bottom w:w="80" w:type="dxa"/>
              <w:end w:w="120" w:type="dxa"/>
            </w:tcMar>
          </w:tcPr>
          <w:p>
            <w:pPr>
              <w:spacing w:after="0" w:line="240" w:lineRule="auto"/>
            </w:pPr>
            <w:r>
              <w:rPr>
                <w:rFonts w:ascii="Calibri" w:hAnsi="Calibri"/>
                <w:color w:val="000000"/>
                <w:sz w:val="18"/>
              </w:rPr>
              <w:t>A dispatch attempt crossed the declared effect commit point.</w:t>
            </w:r>
          </w:p>
        </w:tc>
      </w:tr>
      <w:tr>
        <w:trPr>
          <w:cantSplit/>
          <w:trHeight w:hRule="atLeast"/>
        </w:trPr>
        <w:tc>
          <w:tcPr>
            <w:tcW w:type="dxa" w:w="2700"/>
            <w:vAlign w:val="top"/>
            <w:tcMar>
              <w:top w:w="80" w:type="dxa"/>
              <w:start w:w="120" w:type="dxa"/>
              <w:bottom w:w="80" w:type="dxa"/>
              <w:end w:w="120" w:type="dxa"/>
            </w:tcMar>
          </w:tcPr>
          <w:p>
            <w:pPr>
              <w:spacing w:after="0" w:line="240" w:lineRule="auto"/>
            </w:pPr>
            <w:r>
              <w:rPr>
                <w:rFonts w:ascii="Consolas" w:hAnsi="Consolas"/>
                <w:color w:val="000000"/>
                <w:sz w:val="18"/>
              </w:rPr>
              <w:t>OBSERVED</w:t>
            </w:r>
          </w:p>
        </w:tc>
        <w:tc>
          <w:tcPr>
            <w:tcW w:type="dxa" w:w="6660"/>
            <w:vAlign w:val="top"/>
            <w:tcMar>
              <w:top w:w="80" w:type="dxa"/>
              <w:start w:w="120" w:type="dxa"/>
              <w:bottom w:w="80" w:type="dxa"/>
              <w:end w:w="120" w:type="dxa"/>
            </w:tcMar>
          </w:tcPr>
          <w:p>
            <w:pPr>
              <w:spacing w:after="0" w:line="240" w:lineRule="auto"/>
            </w:pPr>
            <w:r>
              <w:rPr>
                <w:rFonts w:ascii="Calibri" w:hAnsi="Calibri"/>
                <w:color w:val="000000"/>
                <w:sz w:val="18"/>
              </w:rPr>
              <w:t>A scoped postcondition witness reported an outcome.</w:t>
            </w:r>
          </w:p>
        </w:tc>
      </w:tr>
      <w:tr>
        <w:trPr>
          <w:cantSplit/>
          <w:trHeight w:hRule="atLeast"/>
        </w:trPr>
        <w:tc>
          <w:tcPr>
            <w:tcW w:type="dxa" w:w="2700"/>
            <w:shd w:fill="F2F4F7"/>
            <w:vAlign w:val="top"/>
            <w:tcMar>
              <w:top w:w="80" w:type="dxa"/>
              <w:start w:w="120" w:type="dxa"/>
              <w:bottom w:w="80" w:type="dxa"/>
              <w:end w:w="120" w:type="dxa"/>
            </w:tcMar>
          </w:tcPr>
          <w:p>
            <w:pPr>
              <w:spacing w:after="0" w:line="240" w:lineRule="auto"/>
            </w:pPr>
            <w:r>
              <w:rPr>
                <w:rFonts w:ascii="Consolas" w:hAnsi="Consolas"/>
                <w:color w:val="000000"/>
                <w:sz w:val="18"/>
              </w:rPr>
              <w:t>SETTLED</w:t>
            </w:r>
          </w:p>
        </w:tc>
        <w:tc>
          <w:tcPr>
            <w:tcW w:type="dxa" w:w="6660"/>
            <w:shd w:fill="F2F4F7"/>
            <w:vAlign w:val="top"/>
            <w:tcMar>
              <w:top w:w="80" w:type="dxa"/>
              <w:start w:w="120" w:type="dxa"/>
              <w:bottom w:w="80" w:type="dxa"/>
              <w:end w:w="120" w:type="dxa"/>
            </w:tcMar>
          </w:tcPr>
          <w:p>
            <w:pPr>
              <w:spacing w:after="0" w:line="240" w:lineRule="auto"/>
            </w:pPr>
            <w:r>
              <w:rPr>
                <w:rFonts w:ascii="Calibri" w:hAnsi="Calibri"/>
                <w:color w:val="000000"/>
                <w:sz w:val="18"/>
              </w:rPr>
              <w:t>The declared settlement rule completed.</w:t>
            </w:r>
          </w:p>
        </w:tc>
      </w:tr>
      <w:tr>
        <w:trPr>
          <w:cantSplit/>
          <w:trHeight w:hRule="atLeast"/>
        </w:trPr>
        <w:tc>
          <w:tcPr>
            <w:tcW w:type="dxa" w:w="2700"/>
            <w:vAlign w:val="top"/>
            <w:tcMar>
              <w:top w:w="80" w:type="dxa"/>
              <w:start w:w="120" w:type="dxa"/>
              <w:bottom w:w="80" w:type="dxa"/>
              <w:end w:w="120" w:type="dxa"/>
            </w:tcMar>
          </w:tcPr>
          <w:p>
            <w:pPr>
              <w:spacing w:after="0" w:line="240" w:lineRule="auto"/>
            </w:pPr>
            <w:r>
              <w:rPr>
                <w:rFonts w:ascii="Consolas" w:hAnsi="Consolas"/>
                <w:color w:val="000000"/>
                <w:sz w:val="18"/>
              </w:rPr>
              <w:t>EFFECT_UNKNOWN</w:t>
            </w:r>
          </w:p>
        </w:tc>
        <w:tc>
          <w:tcPr>
            <w:tcW w:type="dxa" w:w="6660"/>
            <w:vAlign w:val="top"/>
            <w:tcMar>
              <w:top w:w="80" w:type="dxa"/>
              <w:start w:w="120" w:type="dxa"/>
              <w:bottom w:w="80" w:type="dxa"/>
              <w:end w:w="120" w:type="dxa"/>
            </w:tcMar>
          </w:tcPr>
          <w:p>
            <w:pPr>
              <w:spacing w:after="0" w:line="240" w:lineRule="auto"/>
            </w:pPr>
            <w:r>
              <w:rPr>
                <w:rFonts w:ascii="Calibri" w:hAnsi="Calibri"/>
                <w:color w:val="000000"/>
                <w:sz w:val="18"/>
              </w:rPr>
              <w:t>Dispatch may have occurred, but the resulting world effect is unresolved.</w:t>
            </w:r>
          </w:p>
        </w:tc>
      </w:tr>
      <w:tr>
        <w:trPr>
          <w:cantSplit/>
          <w:trHeight w:hRule="atLeast"/>
        </w:trPr>
        <w:tc>
          <w:tcPr>
            <w:tcW w:type="dxa" w:w="2700"/>
            <w:shd w:fill="F2F4F7"/>
            <w:vAlign w:val="top"/>
            <w:tcMar>
              <w:top w:w="80" w:type="dxa"/>
              <w:start w:w="120" w:type="dxa"/>
              <w:bottom w:w="80" w:type="dxa"/>
              <w:end w:w="120" w:type="dxa"/>
            </w:tcMar>
          </w:tcPr>
          <w:p>
            <w:pPr>
              <w:spacing w:after="0" w:line="240" w:lineRule="auto"/>
            </w:pPr>
            <w:r>
              <w:rPr>
                <w:rFonts w:ascii="Consolas" w:hAnsi="Consolas"/>
                <w:color w:val="000000"/>
                <w:sz w:val="18"/>
              </w:rPr>
              <w:t>OBSERVATION_STALE</w:t>
            </w:r>
          </w:p>
        </w:tc>
        <w:tc>
          <w:tcPr>
            <w:tcW w:type="dxa" w:w="6660"/>
            <w:shd w:fill="F2F4F7"/>
            <w:vAlign w:val="top"/>
            <w:tcMar>
              <w:top w:w="80" w:type="dxa"/>
              <w:start w:w="120" w:type="dxa"/>
              <w:bottom w:w="80" w:type="dxa"/>
              <w:end w:w="120" w:type="dxa"/>
            </w:tcMar>
          </w:tcPr>
          <w:p>
            <w:pPr>
              <w:spacing w:after="0" w:line="240" w:lineRule="auto"/>
            </w:pPr>
            <w:r>
              <w:rPr>
                <w:rFonts w:ascii="Calibri" w:hAnsi="Calibri"/>
                <w:color w:val="000000"/>
                <w:sz w:val="18"/>
              </w:rPr>
              <w:t>The witness refers to the wrong policy, generation, or freshness window.</w:t>
            </w:r>
          </w:p>
        </w:tc>
      </w:tr>
      <w:tr>
        <w:trPr>
          <w:cantSplit/>
          <w:trHeight w:hRule="atLeast"/>
        </w:trPr>
        <w:tc>
          <w:tcPr>
            <w:tcW w:type="dxa" w:w="2700"/>
            <w:vAlign w:val="top"/>
            <w:tcMar>
              <w:top w:w="80" w:type="dxa"/>
              <w:start w:w="120" w:type="dxa"/>
              <w:bottom w:w="80" w:type="dxa"/>
              <w:end w:w="120" w:type="dxa"/>
            </w:tcMar>
          </w:tcPr>
          <w:p>
            <w:pPr>
              <w:spacing w:after="0" w:line="240" w:lineRule="auto"/>
            </w:pPr>
            <w:r>
              <w:rPr>
                <w:rFonts w:ascii="Consolas" w:hAnsi="Consolas"/>
                <w:color w:val="000000"/>
                <w:sz w:val="18"/>
              </w:rPr>
              <w:t>OBSERVATION_CONFLICT</w:t>
            </w:r>
          </w:p>
        </w:tc>
        <w:tc>
          <w:tcPr>
            <w:tcW w:type="dxa" w:w="6660"/>
            <w:vAlign w:val="top"/>
            <w:tcMar>
              <w:top w:w="80" w:type="dxa"/>
              <w:start w:w="120" w:type="dxa"/>
              <w:bottom w:w="80" w:type="dxa"/>
              <w:end w:w="120" w:type="dxa"/>
            </w:tcMar>
          </w:tcPr>
          <w:p>
            <w:pPr>
              <w:spacing w:after="0" w:line="240" w:lineRule="auto"/>
            </w:pPr>
            <w:r>
              <w:rPr>
                <w:rFonts w:ascii="Calibri" w:hAnsi="Calibri"/>
                <w:color w:val="000000"/>
                <w:sz w:val="18"/>
              </w:rPr>
              <w:t>Qualified witnesses reported incompatible outcomes.</w:t>
            </w:r>
          </w:p>
        </w:tc>
      </w:tr>
      <w:tr>
        <w:trPr>
          <w:cantSplit/>
          <w:trHeight w:hRule="atLeast"/>
        </w:trPr>
        <w:tc>
          <w:tcPr>
            <w:tcW w:type="dxa" w:w="2700"/>
            <w:shd w:fill="F2F4F7"/>
            <w:vAlign w:val="top"/>
            <w:tcMar>
              <w:top w:w="80" w:type="dxa"/>
              <w:start w:w="120" w:type="dxa"/>
              <w:bottom w:w="80" w:type="dxa"/>
              <w:end w:w="120" w:type="dxa"/>
            </w:tcMar>
          </w:tcPr>
          <w:p>
            <w:pPr>
              <w:spacing w:after="0" w:line="240" w:lineRule="auto"/>
            </w:pPr>
            <w:r>
              <w:rPr>
                <w:rFonts w:ascii="Consolas" w:hAnsi="Consolas"/>
                <w:color w:val="000000"/>
                <w:sz w:val="18"/>
              </w:rPr>
              <w:t>DUPLICATE_RISK</w:t>
            </w:r>
          </w:p>
        </w:tc>
        <w:tc>
          <w:tcPr>
            <w:tcW w:type="dxa" w:w="6660"/>
            <w:shd w:fill="F2F4F7"/>
            <w:vAlign w:val="top"/>
            <w:tcMar>
              <w:top w:w="80" w:type="dxa"/>
              <w:start w:w="120" w:type="dxa"/>
              <w:bottom w:w="80" w:type="dxa"/>
              <w:end w:w="120" w:type="dxa"/>
            </w:tcMar>
          </w:tcPr>
          <w:p>
            <w:pPr>
              <w:spacing w:after="0" w:line="240" w:lineRule="auto"/>
            </w:pPr>
            <w:r>
              <w:rPr>
                <w:rFonts w:ascii="Calibri" w:hAnsi="Calibri"/>
                <w:color w:val="000000"/>
                <w:sz w:val="18"/>
              </w:rPr>
              <w:t>A repeated dispatch is outside the proved deduplication horizon.</w:t>
            </w:r>
          </w:p>
        </w:tc>
      </w:tr>
      <w:tr>
        <w:trPr>
          <w:cantSplit/>
          <w:trHeight w:hRule="atLeast"/>
        </w:trPr>
        <w:tc>
          <w:tcPr>
            <w:tcW w:type="dxa" w:w="2700"/>
            <w:vAlign w:val="top"/>
            <w:tcMar>
              <w:top w:w="80" w:type="dxa"/>
              <w:start w:w="120" w:type="dxa"/>
              <w:bottom w:w="80" w:type="dxa"/>
              <w:end w:w="120" w:type="dxa"/>
            </w:tcMar>
          </w:tcPr>
          <w:p>
            <w:pPr>
              <w:spacing w:after="0" w:line="240" w:lineRule="auto"/>
            </w:pPr>
            <w:r>
              <w:rPr>
                <w:rFonts w:ascii="Consolas" w:hAnsi="Consolas"/>
                <w:color w:val="000000"/>
                <w:sz w:val="18"/>
              </w:rPr>
              <w:t>COMPENSATED</w:t>
            </w:r>
          </w:p>
        </w:tc>
        <w:tc>
          <w:tcPr>
            <w:tcW w:type="dxa" w:w="6660"/>
            <w:vAlign w:val="top"/>
            <w:tcMar>
              <w:top w:w="80" w:type="dxa"/>
              <w:start w:w="120" w:type="dxa"/>
              <w:bottom w:w="80" w:type="dxa"/>
              <w:end w:w="120" w:type="dxa"/>
            </w:tcMar>
          </w:tcPr>
          <w:p>
            <w:pPr>
              <w:spacing w:after="0" w:line="240" w:lineRule="auto"/>
            </w:pPr>
            <w:r>
              <w:rPr>
                <w:rFonts w:ascii="Calibri" w:hAnsi="Calibri"/>
                <w:color w:val="000000"/>
                <w:sz w:val="18"/>
              </w:rPr>
              <w:t>A distinct compensating effect was observed and settled. It does not erase the first effect.</w:t>
            </w:r>
          </w:p>
        </w:tc>
      </w:tr>
      <w:tr>
        <w:trPr>
          <w:cantSplit/>
          <w:trHeight w:hRule="atLeast"/>
        </w:trPr>
        <w:tc>
          <w:tcPr>
            <w:tcW w:type="dxa" w:w="2700"/>
            <w:shd w:fill="F2F4F7"/>
            <w:vAlign w:val="top"/>
            <w:tcMar>
              <w:top w:w="80" w:type="dxa"/>
              <w:start w:w="120" w:type="dxa"/>
              <w:bottom w:w="80" w:type="dxa"/>
              <w:end w:w="120" w:type="dxa"/>
            </w:tcMar>
          </w:tcPr>
          <w:p>
            <w:pPr>
              <w:spacing w:after="0" w:line="240" w:lineRule="auto"/>
            </w:pPr>
            <w:r>
              <w:rPr>
                <w:rFonts w:ascii="Consolas" w:hAnsi="Consolas"/>
                <w:color w:val="000000"/>
                <w:sz w:val="18"/>
              </w:rPr>
              <w:t>REFUSED</w:t>
            </w:r>
          </w:p>
        </w:tc>
        <w:tc>
          <w:tcPr>
            <w:tcW w:type="dxa" w:w="6660"/>
            <w:shd w:fill="F2F4F7"/>
            <w:vAlign w:val="top"/>
            <w:tcMar>
              <w:top w:w="80" w:type="dxa"/>
              <w:start w:w="120" w:type="dxa"/>
              <w:bottom w:w="80" w:type="dxa"/>
              <w:end w:w="120" w:type="dxa"/>
            </w:tcMar>
          </w:tcPr>
          <w:p>
            <w:pPr>
              <w:spacing w:after="0" w:line="240" w:lineRule="auto"/>
            </w:pPr>
            <w:r>
              <w:rPr>
                <w:rFonts w:ascii="Calibri" w:hAnsi="Calibri"/>
                <w:color w:val="000000"/>
                <w:sz w:val="18"/>
              </w:rPr>
              <w:t>The attempted transition did not cross the effect commit point.</w:t>
            </w:r>
          </w:p>
        </w:tc>
      </w:tr>
    </w:tbl>
    <w:p>
      <w:r>
        <w:rPr>
          <w:rFonts w:ascii="Calibri" w:hAnsi="Calibri"/>
          <w:color w:val="000000"/>
          <w:sz w:val="22"/>
        </w:rPr>
        <w:t xml:space="preserve">A timeout after dispatch produces </w:t>
      </w:r>
      <w:r>
        <w:rPr>
          <w:rFonts w:ascii="Consolas" w:hAnsi="Consolas"/>
          <w:color w:val="000000"/>
          <w:sz w:val="18"/>
        </w:rPr>
        <w:t>EFFECT_UNKNOWN</w:t>
      </w:r>
      <w:r>
        <w:rPr>
          <w:rFonts w:ascii="Calibri" w:hAnsi="Calibri"/>
          <w:color w:val="000000"/>
          <w:sz w:val="22"/>
        </w:rPr>
        <w:t>. Preserving the prior accepted projection does not prove that the external world is unchanged.</w:t>
      </w:r>
    </w:p>
    <w:p>
      <w:pPr>
        <w:pStyle w:val="Heading2"/>
      </w:pPr>
      <w:r>
        <w:rPr>
          <w:rFonts w:ascii="Calibri" w:hAnsi="Calibri"/>
          <w:b/>
          <w:color w:val="2E74B5"/>
          <w:sz w:val="26"/>
        </w:rPr>
        <w:t>5. Causal order and canonical replay</w:t>
      </w:r>
    </w:p>
    <w:p>
      <w:r>
        <w:rPr>
          <w:rFonts w:ascii="Calibri" w:hAnsi="Calibri"/>
          <w:color w:val="000000"/>
          <w:sz w:val="22"/>
        </w:rPr>
        <w:t>Receipt order is defined by assigned sequence and validated causal references. Wall-clock time is a claim, not canonical order. Lamport's happened-before relation establishes why causality is a partial order and why a total order is an additional construction [S01].</w:t>
      </w:r>
    </w:p>
    <w:p>
      <w:r>
        <w:rPr>
          <w:rFonts w:ascii="Calibri" w:hAnsi="Calibri"/>
          <w:color w:val="000000"/>
          <w:sz w:val="22"/>
        </w:rPr>
        <w:t>A valid serialization must extend every declared causal edge. Parallel child branches join through a multi-parent checkpoint. A linear hash chain over one serialization is not evidence that another serialization is equivalent. The join receipt therefore records the parent set, the selected serialization or merge proof, the policy generation, and the equivalence profile.</w:t>
      </w:r>
    </w:p>
    <w:p>
      <w:pPr>
        <w:pStyle w:val="Heading2"/>
      </w:pPr>
      <w:r>
        <w:rPr>
          <w:rFonts w:ascii="Calibri" w:hAnsi="Calibri"/>
          <w:b/>
          <w:color w:val="2E74B5"/>
          <w:sz w:val="26"/>
        </w:rPr>
        <w:t>6. Five independent guarantees</w:t>
      </w:r>
    </w:p>
    <w:p>
      <w:pPr>
        <w:pStyle w:val="Heading3"/>
      </w:pPr>
      <w:r>
        <w:rPr>
          <w:rFonts w:ascii="Calibri" w:hAnsi="Calibri"/>
          <w:b/>
          <w:color w:val="1F4D78"/>
          <w:sz w:val="24"/>
        </w:rPr>
        <w:t>6.1 Deterministic replay</w:t>
      </w:r>
    </w:p>
    <w:p>
      <w:r>
        <w:rPr>
          <w:rFonts w:ascii="Calibri" w:hAnsi="Calibri"/>
          <w:color w:val="000000"/>
          <w:sz w:val="22"/>
        </w:rPr>
        <w:t xml:space="preserve">For valid ledger bytes </w:t>
      </w:r>
      <w:r>
        <w:rPr>
          <w:rFonts w:ascii="Consolas" w:hAnsi="Consolas"/>
          <w:color w:val="000000"/>
          <w:sz w:val="18"/>
        </w:rPr>
        <w:t>L</w:t>
      </w:r>
      <w:r>
        <w:rPr>
          <w:rFonts w:ascii="Calibri" w:hAnsi="Calibri"/>
          <w:color w:val="000000"/>
          <w:sz w:val="22"/>
        </w:rPr>
        <w:t xml:space="preserve">, pinned policy </w:t>
      </w:r>
      <w:r>
        <w:rPr>
          <w:rFonts w:ascii="Consolas" w:hAnsi="Consolas"/>
          <w:color w:val="000000"/>
          <w:sz w:val="18"/>
        </w:rPr>
        <w:t>P</w:t>
      </w:r>
      <w:r>
        <w:rPr>
          <w:rFonts w:ascii="Calibri" w:hAnsi="Calibri"/>
          <w:color w:val="000000"/>
          <w:sz w:val="22"/>
        </w:rPr>
        <w:t xml:space="preserve">, and independently implemented reducers </w:t>
      </w:r>
      <w:r>
        <w:rPr>
          <w:rFonts w:ascii="Consolas" w:hAnsi="Consolas"/>
          <w:color w:val="000000"/>
          <w:sz w:val="18"/>
        </w:rPr>
        <w:t>R_1</w:t>
      </w:r>
      <w:r>
        <w:rPr>
          <w:rFonts w:ascii="Calibri" w:hAnsi="Calibri"/>
          <w:color w:val="000000"/>
          <w:sz w:val="22"/>
        </w:rPr>
        <w:t xml:space="preserve"> and </w:t>
      </w:r>
      <w:r>
        <w:rPr>
          <w:rFonts w:ascii="Consolas" w:hAnsi="Consolas"/>
          <w:color w:val="000000"/>
          <w:sz w:val="18"/>
        </w:rPr>
        <w:t>R_2</w:t>
      </w:r>
      <w:r>
        <w:rPr>
          <w:rFonts w:ascii="Calibri" w:hAnsi="Calibri"/>
          <w:color w:val="000000"/>
          <w:sz w:val="22"/>
        </w:rPr>
        <w:t>:</w:t>
      </w:r>
    </w:p>
    <w:p>
      <w:r>
        <w:rPr>
          <w:rFonts w:ascii="Consolas" w:hAnsi="Consolas"/>
          <w:color w:val="000000"/>
          <w:sz w:val="18"/>
        </w:rPr>
        <w:t>R_1(P, L) = R_2(P, L)</w:t>
      </w:r>
      <w:r>
        <w:rPr>
          <w:rFonts w:ascii="Calibri" w:hAnsi="Calibri"/>
          <w:color w:val="000000"/>
          <w:sz w:val="22"/>
        </w:rPr>
        <w:t xml:space="preserve">  (6)</w:t>
      </w:r>
    </w:p>
    <w:p>
      <w:r>
        <w:rPr>
          <w:rFonts w:ascii="Calibri" w:hAnsi="Calibri"/>
          <w:color w:val="000000"/>
          <w:sz w:val="22"/>
        </w:rPr>
        <w:t>This proves agreement for those bytes and implementations. It does not prove schedule equivalence or semantic truth.</w:t>
      </w:r>
    </w:p>
    <w:p>
      <w:pPr>
        <w:pStyle w:val="Heading3"/>
      </w:pPr>
      <w:r>
        <w:rPr>
          <w:rFonts w:ascii="Calibri" w:hAnsi="Calibri"/>
          <w:b/>
          <w:color w:val="1F4D78"/>
          <w:sz w:val="24"/>
        </w:rPr>
        <w:t>6.2 Schedule equivalence</w:t>
      </w:r>
    </w:p>
    <w:p>
      <w:r>
        <w:rPr>
          <w:rFonts w:ascii="Calibri" w:hAnsi="Calibri"/>
          <w:color w:val="000000"/>
          <w:sz w:val="22"/>
        </w:rPr>
        <w:t xml:space="preserve">For a concurrent batch </w:t>
      </w:r>
      <w:r>
        <w:rPr>
          <w:rFonts w:ascii="Consolas" w:hAnsi="Consolas"/>
          <w:color w:val="000000"/>
          <w:sz w:val="18"/>
        </w:rPr>
        <w:t>B</w:t>
      </w:r>
      <w:r>
        <w:rPr>
          <w:rFonts w:ascii="Calibri" w:hAnsi="Calibri"/>
          <w:color w:val="000000"/>
          <w:sz w:val="22"/>
        </w:rPr>
        <w:t xml:space="preserve">, let </w:t>
      </w:r>
      <w:r>
        <w:rPr>
          <w:rFonts w:ascii="Consolas" w:hAnsi="Consolas"/>
          <w:color w:val="000000"/>
          <w:sz w:val="18"/>
        </w:rPr>
        <w:t>Sigma(B)</w:t>
      </w:r>
      <w:r>
        <w:rPr>
          <w:rFonts w:ascii="Calibri" w:hAnsi="Calibri"/>
          <w:color w:val="000000"/>
          <w:sz w:val="22"/>
        </w:rPr>
        <w:t xml:space="preserve"> be the permitted schedules. Let </w:t>
      </w:r>
      <w:r>
        <w:rPr>
          <w:rFonts w:ascii="Consolas" w:hAnsi="Consolas"/>
          <w:color w:val="000000"/>
          <w:sz w:val="18"/>
        </w:rPr>
        <w:t>Proj(sigma)</w:t>
      </w:r>
      <w:r>
        <w:rPr>
          <w:rFonts w:ascii="Calibri" w:hAnsi="Calibri"/>
          <w:color w:val="000000"/>
          <w:sz w:val="22"/>
        </w:rPr>
        <w:t xml:space="preserve"> be the accepted projection and </w:t>
      </w:r>
      <w:r>
        <w:rPr>
          <w:rFonts w:ascii="Consolas" w:hAnsi="Consolas"/>
          <w:color w:val="000000"/>
          <w:sz w:val="18"/>
        </w:rPr>
        <w:t>Trace(sigma)</w:t>
      </w:r>
      <w:r>
        <w:rPr>
          <w:rFonts w:ascii="Calibri" w:hAnsi="Calibri"/>
          <w:color w:val="000000"/>
          <w:sz w:val="22"/>
        </w:rPr>
        <w:t xml:space="preserve"> the declared effect trace after schedule </w:t>
      </w:r>
      <w:r>
        <w:rPr>
          <w:rFonts w:ascii="Consolas" w:hAnsi="Consolas"/>
          <w:color w:val="000000"/>
          <w:sz w:val="18"/>
        </w:rPr>
        <w:t>sigma</w:t>
      </w:r>
      <w:r>
        <w:rPr>
          <w:rFonts w:ascii="Calibri" w:hAnsi="Calibri"/>
          <w:color w:val="000000"/>
          <w:sz w:val="22"/>
        </w:rPr>
        <w:t>.</w:t>
      </w:r>
    </w:p>
    <w:p>
      <w:r>
        <w:rPr>
          <w:rFonts w:ascii="Consolas" w:hAnsi="Consolas"/>
          <w:color w:val="000000"/>
          <w:sz w:val="18"/>
        </w:rPr>
        <w:t>forall sigma, tau in Sigma(B): Proj(sigma) equiv_P Proj(tau)</w:t>
      </w:r>
      <w:r>
        <w:rPr>
          <w:rFonts w:ascii="Calibri" w:hAnsi="Calibri"/>
          <w:color w:val="000000"/>
          <w:sz w:val="22"/>
        </w:rPr>
        <w:t xml:space="preserve">  (7)</w:t>
      </w:r>
    </w:p>
    <w:p>
      <w:r>
        <w:rPr>
          <w:rFonts w:ascii="Consolas" w:hAnsi="Consolas"/>
          <w:color w:val="000000"/>
          <w:sz w:val="18"/>
        </w:rPr>
        <w:t>forall sigma, tau in Sigma(B): Trace(sigma) equiv_X Trace(tau)</w:t>
      </w:r>
      <w:r>
        <w:rPr>
          <w:rFonts w:ascii="Calibri" w:hAnsi="Calibri"/>
          <w:color w:val="000000"/>
          <w:sz w:val="22"/>
        </w:rPr>
        <w:t xml:space="preserve">  (8)</w:t>
      </w:r>
    </w:p>
    <w:p>
      <w:r>
        <w:rPr>
          <w:rFonts w:ascii="Calibri" w:hAnsi="Calibri"/>
          <w:color w:val="000000"/>
          <w:sz w:val="22"/>
        </w:rPr>
        <w:t xml:space="preserve">The equivalence profiles </w:t>
      </w:r>
      <w:r>
        <w:rPr>
          <w:rFonts w:ascii="Consolas" w:hAnsi="Consolas"/>
          <w:color w:val="000000"/>
          <w:sz w:val="18"/>
        </w:rPr>
        <w:t>equiv_P</w:t>
      </w:r>
      <w:r>
        <w:rPr>
          <w:rFonts w:ascii="Calibri" w:hAnsi="Calibri"/>
          <w:color w:val="000000"/>
          <w:sz w:val="22"/>
        </w:rPr>
        <w:t xml:space="preserve"> and </w:t>
      </w:r>
      <w:r>
        <w:rPr>
          <w:rFonts w:ascii="Consolas" w:hAnsi="Consolas"/>
          <w:color w:val="000000"/>
          <w:sz w:val="18"/>
        </w:rPr>
        <w:t>equiv_X</w:t>
      </w:r>
      <w:r>
        <w:rPr>
          <w:rFonts w:ascii="Calibri" w:hAnsi="Calibri"/>
          <w:color w:val="000000"/>
          <w:sz w:val="22"/>
        </w:rPr>
        <w:t xml:space="preserve"> are versioned inputs. Equality of final projection does not imply equality of effect trace.</w:t>
      </w:r>
    </w:p>
    <w:p>
      <w:pPr>
        <w:pStyle w:val="Heading3"/>
      </w:pPr>
      <w:r>
        <w:rPr>
          <w:rFonts w:ascii="Calibri" w:hAnsi="Calibri"/>
          <w:b/>
          <w:color w:val="1F4D78"/>
          <w:sz w:val="24"/>
        </w:rPr>
        <w:t>6.3 Invariant safety</w:t>
      </w:r>
    </w:p>
    <w:p>
      <w:r>
        <w:rPr>
          <w:rFonts w:ascii="Calibri" w:hAnsi="Calibri"/>
          <w:color w:val="000000"/>
          <w:sz w:val="22"/>
        </w:rPr>
        <w:t xml:space="preserve">For invariant predicate set </w:t>
      </w:r>
      <w:r>
        <w:rPr>
          <w:rFonts w:ascii="Consolas" w:hAnsi="Consolas"/>
          <w:color w:val="000000"/>
          <w:sz w:val="18"/>
        </w:rPr>
        <w:t>I</w:t>
      </w:r>
      <w:r>
        <w:rPr>
          <w:rFonts w:ascii="Calibri" w:hAnsi="Calibri"/>
          <w:color w:val="000000"/>
          <w:sz w:val="22"/>
        </w:rPr>
        <w:t xml:space="preserve"> and every accepted prefix </w:t>
      </w:r>
      <w:r>
        <w:rPr>
          <w:rFonts w:ascii="Consolas" w:hAnsi="Consolas"/>
          <w:color w:val="000000"/>
          <w:sz w:val="18"/>
        </w:rPr>
        <w:t>p</w:t>
      </w:r>
      <w:r>
        <w:rPr>
          <w:rFonts w:ascii="Calibri" w:hAnsi="Calibri"/>
          <w:color w:val="000000"/>
          <w:sz w:val="22"/>
        </w:rPr>
        <w:t xml:space="preserve"> of every permitted schedule:</w:t>
      </w:r>
    </w:p>
    <w:p>
      <w:r>
        <w:rPr>
          <w:rFonts w:ascii="Consolas" w:hAnsi="Consolas"/>
          <w:color w:val="000000"/>
          <w:sz w:val="18"/>
        </w:rPr>
        <w:t>forall sigma in Sigma(B), forall p prefix_of sigma: I(State(p)) = true</w:t>
      </w:r>
      <w:r>
        <w:rPr>
          <w:rFonts w:ascii="Calibri" w:hAnsi="Calibri"/>
          <w:color w:val="000000"/>
          <w:sz w:val="22"/>
        </w:rPr>
        <w:t xml:space="preserve">  (9)</w:t>
      </w:r>
    </w:p>
    <w:p>
      <w:r>
        <w:rPr>
          <w:rFonts w:ascii="Calibri" w:hAnsi="Calibri"/>
          <w:color w:val="000000"/>
          <w:sz w:val="22"/>
        </w:rPr>
        <w:t>Checking only final states is insufficient. Invariant confluence can justify coordination avoidance only inside a compatible, fully declared model [S02].</w:t>
      </w:r>
    </w:p>
    <w:p>
      <w:pPr>
        <w:pStyle w:val="Heading3"/>
      </w:pPr>
      <w:r>
        <w:rPr>
          <w:rFonts w:ascii="Calibri" w:hAnsi="Calibri"/>
          <w:b/>
          <w:color w:val="1F4D78"/>
          <w:sz w:val="24"/>
        </w:rPr>
        <w:t>6.4 Effect safety</w:t>
      </w:r>
    </w:p>
    <w:p>
      <w:r>
        <w:rPr>
          <w:rFonts w:ascii="Calibri" w:hAnsi="Calibri"/>
          <w:color w:val="000000"/>
          <w:sz w:val="22"/>
        </w:rPr>
        <w:t>Effect safety requires declared identity, authority, cardinality, order, deduplication horizon, commit point, observation, settlement, and compensation. Operations that commute in a model may be exchanged only under that model's operands and equivalence test [S10, S11].</w:t>
      </w:r>
    </w:p>
    <w:p>
      <w:pPr>
        <w:pStyle w:val="Heading3"/>
      </w:pPr>
      <w:r>
        <w:rPr>
          <w:rFonts w:ascii="Calibri" w:hAnsi="Calibri"/>
          <w:b/>
          <w:color w:val="1F4D78"/>
          <w:sz w:val="24"/>
        </w:rPr>
        <w:t>6.5 Liveness and fairness</w:t>
      </w:r>
    </w:p>
    <w:p>
      <w:r>
        <w:rPr>
          <w:rFonts w:ascii="Calibri" w:hAnsi="Calibri"/>
          <w:color w:val="000000"/>
          <w:sz w:val="22"/>
        </w:rPr>
        <w:t>Liveness is not inferred from finite successful runs. A liveness claim names the admissible workload, fairness rule, retry bound, timeout assumption, termination measure, and failure model. Newman's lemma cannot support a global confluence claim unless termination and local confluence are established for the declared rewriting relation [S12].</w:t>
      </w:r>
    </w:p>
    <w:p>
      <w:pPr>
        <w:pStyle w:val="Heading2"/>
      </w:pPr>
      <w:r>
        <w:rPr>
          <w:rFonts w:ascii="Calibri" w:hAnsi="Calibri"/>
          <w:b/>
          <w:color w:val="2E74B5"/>
          <w:sz w:val="26"/>
        </w:rPr>
        <w:t>7. Pair and triple gate</w:t>
      </w:r>
    </w:p>
    <w:p>
      <w:r>
        <w:rPr>
          <w:rFonts w:ascii="Calibri" w:hAnsi="Calibri"/>
          <w:color w:val="000000"/>
          <w:sz w:val="22"/>
        </w:rPr>
        <w:t>Every proposed concurrent pair receives exactly one classification:</w:t>
      </w:r>
    </w:p>
    <w:p>
      <w:r>
        <w:rPr>
          <w:rFonts w:ascii="Consolas" w:hAnsi="Consolas"/>
          <w:color w:val="000000"/>
          <w:sz w:val="18"/>
        </w:rPr>
        <w:t>COMMUTES</w:t>
      </w:r>
      <w:r>
        <w:rPr>
          <w:rFonts w:ascii="Calibri" w:hAnsi="Calibri"/>
          <w:color w:val="000000"/>
          <w:sz w:val="22"/>
        </w:rPr>
        <w:t xml:space="preserve">, </w:t>
      </w:r>
      <w:r>
        <w:rPr>
          <w:rFonts w:ascii="Consolas" w:hAnsi="Consolas"/>
          <w:color w:val="000000"/>
          <w:sz w:val="18"/>
        </w:rPr>
        <w:t>RESIDUAL_JOIN_PROVEN</w:t>
      </w:r>
      <w:r>
        <w:rPr>
          <w:rFonts w:ascii="Calibri" w:hAnsi="Calibri"/>
          <w:color w:val="000000"/>
          <w:sz w:val="22"/>
        </w:rPr>
        <w:t xml:space="preserve">, </w:t>
      </w:r>
      <w:r>
        <w:rPr>
          <w:rFonts w:ascii="Consolas" w:hAnsi="Consolas"/>
          <w:color w:val="000000"/>
          <w:sz w:val="18"/>
        </w:rPr>
        <w:t>MERGE_JOIN_PROVEN</w:t>
      </w:r>
      <w:r>
        <w:rPr>
          <w:rFonts w:ascii="Calibri" w:hAnsi="Calibri"/>
          <w:color w:val="000000"/>
          <w:sz w:val="22"/>
        </w:rPr>
        <w:t xml:space="preserve">, </w:t>
      </w:r>
      <w:r>
        <w:rPr>
          <w:rFonts w:ascii="Consolas" w:hAnsi="Consolas"/>
          <w:color w:val="000000"/>
          <w:sz w:val="18"/>
        </w:rPr>
        <w:t>ORDER_REQUIRED</w:t>
      </w:r>
      <w:r>
        <w:rPr>
          <w:rFonts w:ascii="Calibri" w:hAnsi="Calibri"/>
          <w:color w:val="000000"/>
          <w:sz w:val="22"/>
        </w:rPr>
        <w:t xml:space="preserve">, </w:t>
      </w:r>
      <w:r>
        <w:rPr>
          <w:rFonts w:ascii="Consolas" w:hAnsi="Consolas"/>
          <w:color w:val="000000"/>
          <w:sz w:val="18"/>
        </w:rPr>
        <w:t>CONFLICT_MATERIALIZED</w:t>
      </w:r>
      <w:r>
        <w:rPr>
          <w:rFonts w:ascii="Calibri" w:hAnsi="Calibri"/>
          <w:color w:val="000000"/>
          <w:sz w:val="22"/>
        </w:rPr>
        <w:t xml:space="preserve">, </w:t>
      </w:r>
      <w:r>
        <w:rPr>
          <w:rFonts w:ascii="Consolas" w:hAnsi="Consolas"/>
          <w:color w:val="000000"/>
          <w:sz w:val="18"/>
        </w:rPr>
        <w:t>REFUSED</w:t>
      </w:r>
      <w:r>
        <w:rPr>
          <w:rFonts w:ascii="Calibri" w:hAnsi="Calibri"/>
          <w:color w:val="000000"/>
          <w:sz w:val="22"/>
        </w:rPr>
        <w:t xml:space="preserve">, or </w:t>
      </w:r>
      <w:r>
        <w:rPr>
          <w:rFonts w:ascii="Consolas" w:hAnsi="Consolas"/>
          <w:color w:val="000000"/>
          <w:sz w:val="18"/>
        </w:rPr>
        <w:t>UNKNOWN</w:t>
      </w:r>
      <w:r>
        <w:rPr>
          <w:rFonts w:ascii="Calibri" w:hAnsi="Calibri"/>
          <w:color w:val="000000"/>
          <w:sz w:val="22"/>
        </w:rPr>
        <w:t>.</w:t>
      </w:r>
    </w:p>
    <w:p>
      <w:r>
        <w:rPr>
          <w:rFonts w:ascii="Consolas" w:hAnsi="Consolas"/>
          <w:color w:val="000000"/>
          <w:sz w:val="18"/>
        </w:rPr>
        <w:t>UNKNOWN</w:t>
      </w:r>
      <w:r>
        <w:rPr>
          <w:rFonts w:ascii="Calibri" w:hAnsi="Calibri"/>
          <w:color w:val="000000"/>
          <w:sz w:val="22"/>
        </w:rPr>
        <w:t xml:space="preserve"> cannot authorize consequential parallel execution.</w:t>
      </w:r>
    </w:p>
    <w:p>
      <w:r>
        <w:rPr>
          <w:rFonts w:ascii="Calibri" w:hAnsi="Calibri"/>
          <w:color w:val="000000"/>
          <w:sz w:val="22"/>
        </w:rPr>
        <w:t xml:space="preserve">Pairwise success is not sufficient. When three deltas are eligible together, all six schedules of selected critical triples must be tested or covered by a formal proof. The candidate harness includes three allocations of 40 units against a 100-unit budget. Every pair fits. A three-delta execution must refuse one allocation, and the refused identity depends on schedule without pinned arbitration. The harness therefore returns </w:t>
      </w:r>
      <w:r>
        <w:rPr>
          <w:rFonts w:ascii="Consolas" w:hAnsi="Consolas"/>
          <w:color w:val="000000"/>
          <w:sz w:val="18"/>
        </w:rPr>
        <w:t>PAIRWISE_INSUFFICIENT</w:t>
      </w:r>
      <w:r>
        <w:rPr>
          <w:rFonts w:ascii="Calibri" w:hAnsi="Calibri"/>
          <w:color w:val="000000"/>
          <w:sz w:val="22"/>
        </w:rPr>
        <w:t>.</w:t>
      </w:r>
    </w:p>
    <w:p>
      <w:r>
        <w:rPr>
          <w:rFonts w:ascii="Calibri" w:hAnsi="Calibri"/>
          <w:color w:val="000000"/>
          <w:sz w:val="22"/>
        </w:rPr>
        <w:t>Operational-transformation results provide scoped evidence that triplet conditions can be necessary within a transformation model [S04]. They do not make TP1 or TP2 universal STP axioms.</w:t>
      </w:r>
    </w:p>
    <w:p>
      <w:pPr>
        <w:pStyle w:val="Heading2"/>
      </w:pPr>
      <w:r>
        <w:rPr>
          <w:rFonts w:ascii="Calibri" w:hAnsi="Calibri"/>
          <w:b/>
          <w:color w:val="2E74B5"/>
          <w:sz w:val="26"/>
        </w:rPr>
        <w:t>8. Exploration pressure and effect pressure</w:t>
      </w:r>
    </w:p>
    <w:p>
      <w:r>
        <w:rPr>
          <w:rFonts w:ascii="Consolas" w:hAnsi="Consolas"/>
          <w:color w:val="000000"/>
          <w:sz w:val="18"/>
        </w:rPr>
        <w:t>search_pressure</w:t>
      </w:r>
      <w:r>
        <w:rPr>
          <w:rFonts w:ascii="Calibri" w:hAnsi="Calibri"/>
          <w:color w:val="000000"/>
          <w:sz w:val="22"/>
        </w:rPr>
        <w:t xml:space="preserve"> measures candidate generation inside the declared sandbox. It may include candidate count, branch depth, model diversity, simulation volume, and compute use. It grants no effect authority.</w:t>
      </w:r>
    </w:p>
    <w:p>
      <w:r>
        <w:rPr>
          <w:rFonts w:ascii="Consolas" w:hAnsi="Consolas"/>
          <w:color w:val="000000"/>
          <w:sz w:val="18"/>
        </w:rPr>
        <w:t>effect_pressure</w:t>
      </w:r>
      <w:r>
        <w:rPr>
          <w:rFonts w:ascii="Calibri" w:hAnsi="Calibri"/>
          <w:color w:val="000000"/>
          <w:sz w:val="22"/>
        </w:rPr>
        <w:t xml:space="preserve"> measures admitted consequential work in a named consequence class and unit. It must not be represented in tokens, prompts, or model confidence unless those are the declared consequence unit.</w:t>
      </w:r>
    </w:p>
    <w:p>
      <w:r>
        <w:rPr>
          <w:rFonts w:ascii="Calibri" w:hAnsi="Calibri"/>
          <w:color w:val="000000"/>
          <w:sz w:val="22"/>
        </w:rPr>
        <w:t xml:space="preserve">For each lane </w:t>
      </w:r>
      <w:r>
        <w:rPr>
          <w:rFonts w:ascii="Consolas" w:hAnsi="Consolas"/>
          <w:color w:val="000000"/>
          <w:sz w:val="18"/>
        </w:rPr>
        <w:t>x</w:t>
      </w:r>
      <w:r>
        <w:rPr>
          <w:rFonts w:ascii="Calibri" w:hAnsi="Calibri"/>
          <w:color w:val="000000"/>
          <w:sz w:val="22"/>
        </w:rPr>
        <w:t xml:space="preserve"> in </w:t>
      </w:r>
      <w:r>
        <w:rPr>
          <w:rFonts w:ascii="Consolas" w:hAnsi="Consolas"/>
          <w:color w:val="000000"/>
          <w:sz w:val="18"/>
        </w:rPr>
        <w:t>{observation, settlement, recovery}</w:t>
      </w:r>
      <w:r>
        <w:rPr>
          <w:rFonts w:ascii="Calibri" w:hAnsi="Calibri"/>
          <w:color w:val="000000"/>
          <w:sz w:val="22"/>
        </w:rPr>
        <w:t>:</w:t>
      </w:r>
    </w:p>
    <w:p>
      <w:r>
        <w:rPr>
          <w:rFonts w:ascii="Consolas" w:hAnsi="Consolas"/>
          <w:color w:val="000000"/>
          <w:sz w:val="18"/>
        </w:rPr>
        <w:t>B_x[k+1] = max(0, B_x[k] + A[k] - S_x[k])</w:t>
      </w:r>
      <w:r>
        <w:rPr>
          <w:rFonts w:ascii="Calibri" w:hAnsi="Calibri"/>
          <w:color w:val="000000"/>
          <w:sz w:val="22"/>
        </w:rPr>
        <w:t xml:space="preserve">  (10)</w:t>
      </w:r>
    </w:p>
    <w:p>
      <w:r>
        <w:rPr>
          <w:rFonts w:ascii="Calibri" w:hAnsi="Calibri"/>
          <w:color w:val="000000"/>
          <w:sz w:val="22"/>
        </w:rPr>
        <w:t>where all terms use the same declared consequence-work unit:</w:t>
      </w:r>
    </w:p>
    <w:p>
      <w:pPr>
        <w:pStyle w:val="ListBullet"/>
      </w:pPr>
      <w:r>
        <w:rPr>
          <w:rFonts w:ascii="Consolas" w:hAnsi="Consolas"/>
          <w:color w:val="000000"/>
          <w:sz w:val="18"/>
        </w:rPr>
        <w:t>B_x[k]</w:t>
      </w:r>
      <w:r>
        <w:rPr>
          <w:rFonts w:ascii="Calibri" w:hAnsi="Calibri"/>
          <w:color w:val="000000"/>
          <w:sz w:val="22"/>
        </w:rPr>
        <w:t xml:space="preserve">: queued work at step </w:t>
      </w:r>
      <w:r>
        <w:rPr>
          <w:rFonts w:ascii="Consolas" w:hAnsi="Consolas"/>
          <w:color w:val="000000"/>
          <w:sz w:val="18"/>
        </w:rPr>
        <w:t>k</w:t>
      </w:r>
      <w:r>
        <w:rPr>
          <w:rFonts w:ascii="Calibri" w:hAnsi="Calibri"/>
          <w:color w:val="000000"/>
          <w:sz w:val="22"/>
        </w:rPr>
        <w:t>;</w:t>
      </w:r>
    </w:p>
    <w:p>
      <w:pPr>
        <w:pStyle w:val="ListBullet"/>
      </w:pPr>
      <w:r>
        <w:rPr>
          <w:rFonts w:ascii="Consolas" w:hAnsi="Consolas"/>
          <w:color w:val="000000"/>
          <w:sz w:val="18"/>
        </w:rPr>
        <w:t>A[k]</w:t>
      </w:r>
      <w:r>
        <w:rPr>
          <w:rFonts w:ascii="Calibri" w:hAnsi="Calibri"/>
          <w:color w:val="000000"/>
          <w:sz w:val="22"/>
        </w:rPr>
        <w:t>: work admitted during the step;</w:t>
      </w:r>
    </w:p>
    <w:p>
      <w:pPr>
        <w:pStyle w:val="ListBullet"/>
      </w:pPr>
      <w:r>
        <w:rPr>
          <w:rFonts w:ascii="Consolas" w:hAnsi="Consolas"/>
          <w:color w:val="000000"/>
          <w:sz w:val="18"/>
        </w:rPr>
        <w:t>S_x[k]</w:t>
      </w:r>
      <w:r>
        <w:rPr>
          <w:rFonts w:ascii="Calibri" w:hAnsi="Calibri"/>
          <w:color w:val="000000"/>
          <w:sz w:val="22"/>
        </w:rPr>
        <w:t>: verified service completed during the step.</w:t>
      </w:r>
    </w:p>
    <w:p>
      <w:r>
        <w:rPr>
          <w:rFonts w:ascii="Calibri" w:hAnsi="Calibri"/>
          <w:color w:val="000000"/>
          <w:sz w:val="22"/>
        </w:rPr>
        <w:t xml:space="preserve">Admission is blocked when any </w:t>
      </w:r>
      <w:r>
        <w:rPr>
          <w:rFonts w:ascii="Consolas" w:hAnsi="Consolas"/>
          <w:color w:val="000000"/>
          <w:sz w:val="18"/>
        </w:rPr>
        <w:t>B_x</w:t>
      </w:r>
      <w:r>
        <w:rPr>
          <w:rFonts w:ascii="Calibri" w:hAnsi="Calibri"/>
          <w:color w:val="000000"/>
          <w:sz w:val="22"/>
        </w:rPr>
        <w:t xml:space="preserve"> would exceed its declared buffer. The lanes remain a vector. Excess observation capacity cannot hide insufficient recovery capacity.</w:t>
      </w:r>
    </w:p>
    <w:p>
      <w:r>
        <w:rPr>
          <w:rFonts w:ascii="Calibri" w:hAnsi="Calibri"/>
          <w:color w:val="000000"/>
          <w:sz w:val="22"/>
        </w:rPr>
        <w:t xml:space="preserve">The informal inequality </w:t>
      </w:r>
      <w:r>
        <w:rPr>
          <w:rFonts w:ascii="Consolas" w:hAnsi="Consolas"/>
          <w:color w:val="000000"/>
          <w:sz w:val="18"/>
        </w:rPr>
        <w:t>effect throughput &lt; min(capacities)</w:t>
      </w:r>
      <w:r>
        <w:rPr>
          <w:rFonts w:ascii="Calibri" w:hAnsi="Calibri"/>
          <w:color w:val="000000"/>
          <w:sz w:val="22"/>
        </w:rPr>
        <w:t xml:space="preserve"> is only a long-run heuristic under stationarity, stable units, and queue assumptions. It is not retained as a finite-horizon proof. Equation (10) is the canonical candidate calculation because it is exact for the declared discrete records.</w:t>
      </w:r>
    </w:p>
    <w:p>
      <w:r>
        <w:rPr>
          <w:rFonts w:ascii="Calibri" w:hAnsi="Calibri"/>
          <w:color w:val="000000"/>
          <w:sz w:val="22"/>
        </w:rPr>
        <w:t>StageOpt and runtime-assurance work support the architectural idea of separating optimization from safety constraints and trusted fallback [S06, S07]. Their theorems do not transfer unless their model assumptions are separately met.</w:t>
      </w:r>
    </w:p>
    <w:p>
      <w:pPr>
        <w:pStyle w:val="Heading2"/>
      </w:pPr>
      <w:r>
        <w:rPr>
          <w:rFonts w:ascii="Calibri" w:hAnsi="Calibri"/>
          <w:b/>
          <w:color w:val="2E74B5"/>
          <w:sz w:val="26"/>
        </w:rPr>
        <w:t>9. Deterministic drift vector</w:t>
      </w:r>
    </w:p>
    <w:p>
      <w:r>
        <w:rPr>
          <w:rFonts w:ascii="Calibri" w:hAnsi="Calibri"/>
          <w:color w:val="000000"/>
          <w:sz w:val="22"/>
        </w:rPr>
        <w:t>STP does not publish one weighted health score. It publishes an ordered vector of exact measures and condition results:</w:t>
      </w:r>
    </w:p>
    <w:p>
      <w:r>
        <w:rPr>
          <w:rFonts w:ascii="Consolas" w:hAnsi="Consolas"/>
          <w:color w:val="000000"/>
          <w:sz w:val="18"/>
        </w:rPr>
        <w:t>D = (D_sem, D_replay, D_sched, D_inv, D_effect, D_capacity, D_fresh, D_policy)</w:t>
      </w:r>
      <w:r>
        <w:rPr>
          <w:rFonts w:ascii="Calibri" w:hAnsi="Calibri"/>
          <w:color w:val="000000"/>
          <w:sz w:val="22"/>
        </w:rPr>
        <w:t xml:space="preserve">  (11)</w:t>
      </w:r>
    </w:p>
    <w:tbl>
      <w:tblPr>
        <w:tblStyle w:val="TableGrid"/>
        <w:tblW w:type="dxa" w:w="9360"/>
        <w:jc w:val="left"/>
        <w:tblLayout w:type="fixed"/>
        <w:tblLook w:firstColumn="1" w:firstRow="1" w:lastColumn="0" w:lastRow="0" w:noHBand="0" w:noVBand="1" w:val="04A0"/>
        <w:tblInd w:w="120" w:type="dxa"/>
      </w:tblPr>
      <w:tblGrid>
        <w:gridCol w:w="2700"/>
        <w:gridCol w:w="6660"/>
      </w:tblGrid>
      <w:tr>
        <w:trPr>
          <w:trHeight w:hRule="atLeast"/>
          <w:tblHeader w:val="true"/>
          <w:cantSplit/>
        </w:trPr>
        <w:tc>
          <w:tcPr>
            <w:tcW w:type="dxa" w:w="2700"/>
            <w:shd w:fill="E8EEF5"/>
            <w:vAlign w:val="top"/>
            <w:tcMar>
              <w:top w:w="80" w:type="dxa"/>
              <w:start w:w="120" w:type="dxa"/>
              <w:bottom w:w="80" w:type="dxa"/>
              <w:end w:w="120" w:type="dxa"/>
            </w:tcMar>
          </w:tcPr>
          <w:p>
            <w:pPr>
              <w:spacing w:after="0" w:line="240" w:lineRule="auto"/>
            </w:pPr>
            <w:r>
              <w:rPr>
                <w:rFonts w:ascii="Calibri" w:hAnsi="Calibri"/>
                <w:b/>
                <w:color w:val="0B2545"/>
                <w:sz w:val="18"/>
              </w:rPr>
              <w:t>Component</w:t>
            </w:r>
          </w:p>
        </w:tc>
        <w:tc>
          <w:tcPr>
            <w:tcW w:type="dxa" w:w="6660"/>
            <w:shd w:fill="E8EEF5"/>
            <w:vAlign w:val="top"/>
            <w:tcMar>
              <w:top w:w="80" w:type="dxa"/>
              <w:start w:w="120" w:type="dxa"/>
              <w:bottom w:w="80" w:type="dxa"/>
              <w:end w:w="120" w:type="dxa"/>
            </w:tcMar>
          </w:tcPr>
          <w:p>
            <w:pPr>
              <w:spacing w:after="0" w:line="240" w:lineRule="auto"/>
            </w:pPr>
            <w:r>
              <w:rPr>
                <w:rFonts w:ascii="Calibri" w:hAnsi="Calibri"/>
                <w:b/>
                <w:color w:val="0B2545"/>
                <w:sz w:val="18"/>
              </w:rPr>
              <w:t>Exact candidate definition</w:t>
            </w:r>
          </w:p>
        </w:tc>
      </w:tr>
      <w:tr>
        <w:trPr>
          <w:cantSplit/>
          <w:trHeight w:hRule="atLeast"/>
        </w:trPr>
        <w:tc>
          <w:tcPr>
            <w:tcW w:type="dxa" w:w="2700"/>
            <w:vAlign w:val="top"/>
            <w:tcMar>
              <w:top w:w="80" w:type="dxa"/>
              <w:start w:w="120" w:type="dxa"/>
              <w:bottom w:w="80" w:type="dxa"/>
              <w:end w:w="120" w:type="dxa"/>
            </w:tcMar>
          </w:tcPr>
          <w:p>
            <w:pPr>
              <w:spacing w:after="0" w:line="240" w:lineRule="auto"/>
            </w:pPr>
            <w:r>
              <w:rPr>
                <w:rFonts w:ascii="Consolas" w:hAnsi="Consolas"/>
                <w:color w:val="000000"/>
                <w:sz w:val="18"/>
              </w:rPr>
              <w:t>D_sem</w:t>
            </w:r>
          </w:p>
        </w:tc>
        <w:tc>
          <w:tcPr>
            <w:tcW w:type="dxa" w:w="6660"/>
            <w:vAlign w:val="top"/>
            <w:tcMar>
              <w:top w:w="80" w:type="dxa"/>
              <w:start w:w="120" w:type="dxa"/>
              <w:bottom w:w="80" w:type="dxa"/>
              <w:end w:w="120" w:type="dxa"/>
            </w:tcMar>
          </w:tcPr>
          <w:p>
            <w:pPr>
              <w:spacing w:after="0" w:line="240" w:lineRule="auto"/>
            </w:pPr>
            <w:r>
              <w:rPr>
                <w:rFonts w:ascii="Calibri" w:hAnsi="Calibri"/>
                <w:color w:val="000000"/>
                <w:sz w:val="18"/>
              </w:rPr>
              <w:t>Required semantic records unresolved or contested / required semantic records.</w:t>
            </w:r>
          </w:p>
        </w:tc>
      </w:tr>
      <w:tr>
        <w:trPr>
          <w:cantSplit/>
          <w:trHeight w:hRule="atLeast"/>
        </w:trPr>
        <w:tc>
          <w:tcPr>
            <w:tcW w:type="dxa" w:w="2700"/>
            <w:shd w:fill="F2F4F7"/>
            <w:vAlign w:val="top"/>
            <w:tcMar>
              <w:top w:w="80" w:type="dxa"/>
              <w:start w:w="120" w:type="dxa"/>
              <w:bottom w:w="80" w:type="dxa"/>
              <w:end w:w="120" w:type="dxa"/>
            </w:tcMar>
          </w:tcPr>
          <w:p>
            <w:pPr>
              <w:spacing w:after="0" w:line="240" w:lineRule="auto"/>
            </w:pPr>
            <w:r>
              <w:rPr>
                <w:rFonts w:ascii="Consolas" w:hAnsi="Consolas"/>
                <w:color w:val="000000"/>
                <w:sz w:val="18"/>
              </w:rPr>
              <w:t>D_replay</w:t>
            </w:r>
          </w:p>
        </w:tc>
        <w:tc>
          <w:tcPr>
            <w:tcW w:type="dxa" w:w="6660"/>
            <w:shd w:fill="F2F4F7"/>
            <w:vAlign w:val="top"/>
            <w:tcMar>
              <w:top w:w="80" w:type="dxa"/>
              <w:start w:w="120" w:type="dxa"/>
              <w:bottom w:w="80" w:type="dxa"/>
              <w:end w:w="120" w:type="dxa"/>
            </w:tcMar>
          </w:tcPr>
          <w:p>
            <w:pPr>
              <w:spacing w:after="0" w:line="240" w:lineRule="auto"/>
            </w:pPr>
            <w:r>
              <w:rPr>
                <w:rFonts w:ascii="Calibri" w:hAnsi="Calibri"/>
                <w:color w:val="000000"/>
                <w:sz w:val="18"/>
              </w:rPr>
              <w:t>Number of distinct valid reducer projections minus one. Zero means observed agreement for the tested input.</w:t>
            </w:r>
          </w:p>
        </w:tc>
      </w:tr>
      <w:tr>
        <w:trPr>
          <w:cantSplit/>
          <w:trHeight w:hRule="atLeast"/>
        </w:trPr>
        <w:tc>
          <w:tcPr>
            <w:tcW w:type="dxa" w:w="2700"/>
            <w:vAlign w:val="top"/>
            <w:tcMar>
              <w:top w:w="80" w:type="dxa"/>
              <w:start w:w="120" w:type="dxa"/>
              <w:bottom w:w="80" w:type="dxa"/>
              <w:end w:w="120" w:type="dxa"/>
            </w:tcMar>
          </w:tcPr>
          <w:p>
            <w:pPr>
              <w:spacing w:after="0" w:line="240" w:lineRule="auto"/>
            </w:pPr>
            <w:r>
              <w:rPr>
                <w:rFonts w:ascii="Consolas" w:hAnsi="Consolas"/>
                <w:color w:val="000000"/>
                <w:sz w:val="18"/>
              </w:rPr>
              <w:t>D_sched</w:t>
            </w:r>
          </w:p>
        </w:tc>
        <w:tc>
          <w:tcPr>
            <w:tcW w:type="dxa" w:w="6660"/>
            <w:vAlign w:val="top"/>
            <w:tcMar>
              <w:top w:w="80" w:type="dxa"/>
              <w:start w:w="120" w:type="dxa"/>
              <w:bottom w:w="80" w:type="dxa"/>
              <w:end w:w="120" w:type="dxa"/>
            </w:tcMar>
          </w:tcPr>
          <w:p>
            <w:pPr>
              <w:spacing w:after="0" w:line="240" w:lineRule="auto"/>
            </w:pPr>
            <w:r>
              <w:rPr>
                <w:rFonts w:ascii="Calibri" w:hAnsi="Calibri"/>
                <w:color w:val="000000"/>
                <w:sz w:val="18"/>
              </w:rPr>
              <w:t>Number of projection/effect equivalence classes across permitted schedules minus one.</w:t>
            </w:r>
          </w:p>
        </w:tc>
      </w:tr>
      <w:tr>
        <w:trPr>
          <w:cantSplit/>
          <w:trHeight w:hRule="atLeast"/>
        </w:trPr>
        <w:tc>
          <w:tcPr>
            <w:tcW w:type="dxa" w:w="2700"/>
            <w:shd w:fill="F2F4F7"/>
            <w:vAlign w:val="top"/>
            <w:tcMar>
              <w:top w:w="80" w:type="dxa"/>
              <w:start w:w="120" w:type="dxa"/>
              <w:bottom w:w="80" w:type="dxa"/>
              <w:end w:w="120" w:type="dxa"/>
            </w:tcMar>
          </w:tcPr>
          <w:p>
            <w:pPr>
              <w:spacing w:after="0" w:line="240" w:lineRule="auto"/>
            </w:pPr>
            <w:r>
              <w:rPr>
                <w:rFonts w:ascii="Consolas" w:hAnsi="Consolas"/>
                <w:color w:val="000000"/>
                <w:sz w:val="18"/>
              </w:rPr>
              <w:t>D_inv</w:t>
            </w:r>
          </w:p>
        </w:tc>
        <w:tc>
          <w:tcPr>
            <w:tcW w:type="dxa" w:w="6660"/>
            <w:shd w:fill="F2F4F7"/>
            <w:vAlign w:val="top"/>
            <w:tcMar>
              <w:top w:w="80" w:type="dxa"/>
              <w:start w:w="120" w:type="dxa"/>
              <w:bottom w:w="80" w:type="dxa"/>
              <w:end w:w="120" w:type="dxa"/>
            </w:tcMar>
          </w:tcPr>
          <w:p>
            <w:pPr>
              <w:spacing w:after="0" w:line="240" w:lineRule="auto"/>
            </w:pPr>
            <w:r>
              <w:rPr>
                <w:rFonts w:ascii="Calibri" w:hAnsi="Calibri"/>
                <w:color w:val="000000"/>
                <w:sz w:val="18"/>
              </w:rPr>
              <w:t>Count of invariant-failing accepted prefixes.</w:t>
            </w:r>
          </w:p>
        </w:tc>
      </w:tr>
      <w:tr>
        <w:trPr>
          <w:cantSplit/>
          <w:trHeight w:hRule="atLeast"/>
        </w:trPr>
        <w:tc>
          <w:tcPr>
            <w:tcW w:type="dxa" w:w="2700"/>
            <w:vAlign w:val="top"/>
            <w:tcMar>
              <w:top w:w="80" w:type="dxa"/>
              <w:start w:w="120" w:type="dxa"/>
              <w:bottom w:w="80" w:type="dxa"/>
              <w:end w:w="120" w:type="dxa"/>
            </w:tcMar>
          </w:tcPr>
          <w:p>
            <w:pPr>
              <w:spacing w:after="0" w:line="240" w:lineRule="auto"/>
            </w:pPr>
            <w:r>
              <w:rPr>
                <w:rFonts w:ascii="Consolas" w:hAnsi="Consolas"/>
                <w:color w:val="000000"/>
                <w:sz w:val="18"/>
              </w:rPr>
              <w:t>D_effect</w:t>
            </w:r>
          </w:p>
        </w:tc>
        <w:tc>
          <w:tcPr>
            <w:tcW w:type="dxa" w:w="6660"/>
            <w:vAlign w:val="top"/>
            <w:tcMar>
              <w:top w:w="80" w:type="dxa"/>
              <w:start w:w="120" w:type="dxa"/>
              <w:bottom w:w="80" w:type="dxa"/>
              <w:end w:w="120" w:type="dxa"/>
            </w:tcMar>
          </w:tcPr>
          <w:p>
            <w:pPr>
              <w:spacing w:after="0" w:line="240" w:lineRule="auto"/>
            </w:pPr>
            <w:r>
              <w:rPr>
                <w:rFonts w:ascii="Calibri" w:hAnsi="Calibri"/>
                <w:color w:val="000000"/>
                <w:sz w:val="18"/>
              </w:rPr>
              <w:t xml:space="preserve">Count of effects in </w:t>
            </w:r>
            <w:r>
              <w:rPr>
                <w:rFonts w:ascii="Consolas" w:hAnsi="Consolas"/>
                <w:color w:val="000000"/>
                <w:sz w:val="18"/>
              </w:rPr>
              <w:t>EFFECT_UNKNOWN</w:t>
            </w:r>
            <w:r>
              <w:rPr>
                <w:rFonts w:ascii="Calibri" w:hAnsi="Calibri"/>
                <w:color w:val="000000"/>
                <w:sz w:val="18"/>
              </w:rPr>
              <w:t xml:space="preserve">, </w:t>
            </w:r>
            <w:r>
              <w:rPr>
                <w:rFonts w:ascii="Consolas" w:hAnsi="Consolas"/>
                <w:color w:val="000000"/>
                <w:sz w:val="18"/>
              </w:rPr>
              <w:t>DUPLICATE_RISK</w:t>
            </w:r>
            <w:r>
              <w:rPr>
                <w:rFonts w:ascii="Calibri" w:hAnsi="Calibri"/>
                <w:color w:val="000000"/>
                <w:sz w:val="18"/>
              </w:rPr>
              <w:t>, or unresolved observation conflict.</w:t>
            </w:r>
          </w:p>
        </w:tc>
      </w:tr>
      <w:tr>
        <w:trPr>
          <w:cantSplit/>
          <w:trHeight w:hRule="atLeast"/>
        </w:trPr>
        <w:tc>
          <w:tcPr>
            <w:tcW w:type="dxa" w:w="2700"/>
            <w:shd w:fill="F2F4F7"/>
            <w:vAlign w:val="top"/>
            <w:tcMar>
              <w:top w:w="80" w:type="dxa"/>
              <w:start w:w="120" w:type="dxa"/>
              <w:bottom w:w="80" w:type="dxa"/>
              <w:end w:w="120" w:type="dxa"/>
            </w:tcMar>
          </w:tcPr>
          <w:p>
            <w:pPr>
              <w:spacing w:after="0" w:line="240" w:lineRule="auto"/>
            </w:pPr>
            <w:r>
              <w:rPr>
                <w:rFonts w:ascii="Consolas" w:hAnsi="Consolas"/>
                <w:color w:val="000000"/>
                <w:sz w:val="18"/>
              </w:rPr>
              <w:t>D_capacity</w:t>
            </w:r>
          </w:p>
        </w:tc>
        <w:tc>
          <w:tcPr>
            <w:tcW w:type="dxa" w:w="6660"/>
            <w:shd w:fill="F2F4F7"/>
            <w:vAlign w:val="top"/>
            <w:tcMar>
              <w:top w:w="80" w:type="dxa"/>
              <w:start w:w="120" w:type="dxa"/>
              <w:bottom w:w="80" w:type="dxa"/>
              <w:end w:w="120" w:type="dxa"/>
            </w:tcMar>
          </w:tcPr>
          <w:p>
            <w:pPr>
              <w:spacing w:after="0" w:line="240" w:lineRule="auto"/>
            </w:pPr>
            <w:r>
              <w:rPr>
                <w:rFonts w:ascii="Calibri" w:hAnsi="Calibri"/>
                <w:color w:val="000000"/>
                <w:sz w:val="18"/>
              </w:rPr>
              <w:t xml:space="preserve">Per-lane vector </w:t>
            </w:r>
            <w:r>
              <w:rPr>
                <w:rFonts w:ascii="Consolas" w:hAnsi="Consolas"/>
                <w:color w:val="000000"/>
                <w:sz w:val="18"/>
              </w:rPr>
              <w:t>max(0, B_x - B_x,max)</w:t>
            </w:r>
            <w:r>
              <w:rPr>
                <w:rFonts w:ascii="Calibri" w:hAnsi="Calibri"/>
                <w:color w:val="000000"/>
                <w:sz w:val="18"/>
              </w:rPr>
              <w:t xml:space="preserve"> in the declared consequence unit.</w:t>
            </w:r>
          </w:p>
        </w:tc>
      </w:tr>
      <w:tr>
        <w:trPr>
          <w:cantSplit/>
          <w:trHeight w:hRule="atLeast"/>
        </w:trPr>
        <w:tc>
          <w:tcPr>
            <w:tcW w:type="dxa" w:w="2700"/>
            <w:vAlign w:val="top"/>
            <w:tcMar>
              <w:top w:w="80" w:type="dxa"/>
              <w:start w:w="120" w:type="dxa"/>
              <w:bottom w:w="80" w:type="dxa"/>
              <w:end w:w="120" w:type="dxa"/>
            </w:tcMar>
          </w:tcPr>
          <w:p>
            <w:pPr>
              <w:spacing w:after="0" w:line="240" w:lineRule="auto"/>
            </w:pPr>
            <w:r>
              <w:rPr>
                <w:rFonts w:ascii="Consolas" w:hAnsi="Consolas"/>
                <w:color w:val="000000"/>
                <w:sz w:val="18"/>
              </w:rPr>
              <w:t>D_fresh</w:t>
            </w:r>
          </w:p>
        </w:tc>
        <w:tc>
          <w:tcPr>
            <w:tcW w:type="dxa" w:w="6660"/>
            <w:vAlign w:val="top"/>
            <w:tcMar>
              <w:top w:w="80" w:type="dxa"/>
              <w:start w:w="120" w:type="dxa"/>
              <w:bottom w:w="80" w:type="dxa"/>
              <w:end w:w="120" w:type="dxa"/>
            </w:tcMar>
          </w:tcPr>
          <w:p>
            <w:pPr>
              <w:spacing w:after="0" w:line="240" w:lineRule="auto"/>
            </w:pPr>
            <w:r>
              <w:rPr>
                <w:rFonts w:ascii="Calibri" w:hAnsi="Calibri"/>
                <w:color w:val="000000"/>
                <w:sz w:val="18"/>
              </w:rPr>
              <w:t>Required stale receipts / required applicable receipts.</w:t>
            </w:r>
          </w:p>
        </w:tc>
      </w:tr>
      <w:tr>
        <w:trPr>
          <w:cantSplit/>
          <w:trHeight w:hRule="atLeast"/>
        </w:trPr>
        <w:tc>
          <w:tcPr>
            <w:tcW w:type="dxa" w:w="2700"/>
            <w:shd w:fill="F2F4F7"/>
            <w:vAlign w:val="top"/>
            <w:tcMar>
              <w:top w:w="80" w:type="dxa"/>
              <w:start w:w="120" w:type="dxa"/>
              <w:bottom w:w="80" w:type="dxa"/>
              <w:end w:w="120" w:type="dxa"/>
            </w:tcMar>
          </w:tcPr>
          <w:p>
            <w:pPr>
              <w:spacing w:after="0" w:line="240" w:lineRule="auto"/>
            </w:pPr>
            <w:r>
              <w:rPr>
                <w:rFonts w:ascii="Consolas" w:hAnsi="Consolas"/>
                <w:color w:val="000000"/>
                <w:sz w:val="18"/>
              </w:rPr>
              <w:t>D_policy</w:t>
            </w:r>
          </w:p>
        </w:tc>
        <w:tc>
          <w:tcPr>
            <w:tcW w:type="dxa" w:w="6660"/>
            <w:shd w:fill="F2F4F7"/>
            <w:vAlign w:val="top"/>
            <w:tcMar>
              <w:top w:w="80" w:type="dxa"/>
              <w:start w:w="120" w:type="dxa"/>
              <w:bottom w:w="80" w:type="dxa"/>
              <w:end w:w="120" w:type="dxa"/>
            </w:tcMar>
          </w:tcPr>
          <w:p>
            <w:pPr>
              <w:spacing w:after="0" w:line="240" w:lineRule="auto"/>
            </w:pPr>
            <w:r>
              <w:rPr>
                <w:rFonts w:ascii="Calibri" w:hAnsi="Calibri"/>
                <w:color w:val="000000"/>
                <w:sz w:val="18"/>
              </w:rPr>
              <w:t>Count of receipts bound to an unknown or mismatched policy generation.</w:t>
            </w:r>
          </w:p>
        </w:tc>
      </w:tr>
    </w:tbl>
    <w:p>
      <w:r>
        <w:rPr>
          <w:rFonts w:ascii="Calibri" w:hAnsi="Calibri"/>
          <w:color w:val="000000"/>
          <w:sz w:val="22"/>
        </w:rPr>
        <w:t xml:space="preserve">A component with a zero denominator is </w:t>
      </w:r>
      <w:r>
        <w:rPr>
          <w:rFonts w:ascii="Consolas" w:hAnsi="Consolas"/>
          <w:color w:val="000000"/>
          <w:sz w:val="18"/>
        </w:rPr>
        <w:t>UNDEFINED</w:t>
      </w:r>
      <w:r>
        <w:rPr>
          <w:rFonts w:ascii="Calibri" w:hAnsi="Calibri"/>
          <w:color w:val="000000"/>
          <w:sz w:val="22"/>
        </w:rPr>
        <w:t xml:space="preserve">. Missing evidence is not zero drift. </w:t>
      </w:r>
      <w:r>
        <w:rPr>
          <w:rFonts w:ascii="Consolas" w:hAnsi="Consolas"/>
          <w:color w:val="000000"/>
          <w:sz w:val="18"/>
        </w:rPr>
        <w:t>DRIFT_DETECTED</w:t>
      </w:r>
      <w:r>
        <w:rPr>
          <w:rFonts w:ascii="Calibri" w:hAnsi="Calibri"/>
          <w:color w:val="000000"/>
          <w:sz w:val="22"/>
        </w:rPr>
        <w:t xml:space="preserve"> is true when any versioned required predicate declares its component blocking. </w:t>
      </w:r>
      <w:r>
        <w:rPr>
          <w:rFonts w:ascii="Consolas" w:hAnsi="Consolas"/>
          <w:color w:val="000000"/>
          <w:sz w:val="18"/>
        </w:rPr>
        <w:t>DRIFT_NOT_DETECTED</w:t>
      </w:r>
      <w:r>
        <w:rPr>
          <w:rFonts w:ascii="Calibri" w:hAnsi="Calibri"/>
          <w:color w:val="000000"/>
          <w:sz w:val="22"/>
        </w:rPr>
        <w:t xml:space="preserve"> means no tested predicate detected drift. It does not mean drift is impossible. If a required component cannot be evaluated, the aggregate is </w:t>
      </w:r>
      <w:r>
        <w:rPr>
          <w:rFonts w:ascii="Consolas" w:hAnsi="Consolas"/>
          <w:color w:val="000000"/>
          <w:sz w:val="18"/>
        </w:rPr>
        <w:t>UNKNOWN</w:t>
      </w:r>
      <w:r>
        <w:rPr>
          <w:rFonts w:ascii="Calibri" w:hAnsi="Calibri"/>
          <w:color w:val="000000"/>
          <w:sz w:val="22"/>
        </w:rPr>
        <w:t>.</w:t>
      </w:r>
    </w:p>
    <w:p>
      <w:pPr>
        <w:pStyle w:val="Heading2"/>
      </w:pPr>
      <w:r>
        <w:rPr>
          <w:rFonts w:ascii="Calibri" w:hAnsi="Calibri"/>
          <w:b/>
          <w:color w:val="2E74B5"/>
          <w:sz w:val="26"/>
        </w:rPr>
        <w:t>10. Neutral confidence and calibrated health</w:t>
      </w:r>
    </w:p>
    <w:p>
      <w:r>
        <w:rPr>
          <w:rFonts w:ascii="Calibri" w:hAnsi="Calibri"/>
          <w:color w:val="000000"/>
          <w:sz w:val="22"/>
        </w:rPr>
        <w:t>For required applicable checks under one policy generation:</w:t>
      </w:r>
    </w:p>
    <w:p>
      <w:r>
        <w:rPr>
          <w:rFonts w:ascii="Consolas" w:hAnsi="Consolas"/>
          <w:color w:val="000000"/>
          <w:sz w:val="18"/>
        </w:rPr>
        <w:t>confidence = (PASS + FAIL) / (PASS + FAIL + UNKNOWN + STALE + ERROR)</w:t>
      </w:r>
      <w:r>
        <w:rPr>
          <w:rFonts w:ascii="Calibri" w:hAnsi="Calibri"/>
          <w:color w:val="000000"/>
          <w:sz w:val="22"/>
        </w:rPr>
        <w:t xml:space="preserve">  (12)</w:t>
      </w:r>
    </w:p>
    <w:p>
      <w:r>
        <w:rPr>
          <w:rFonts w:ascii="Consolas" w:hAnsi="Consolas"/>
          <w:color w:val="000000"/>
          <w:sz w:val="18"/>
        </w:rPr>
        <w:t>PASS</w:t>
      </w:r>
      <w:r>
        <w:rPr>
          <w:rFonts w:ascii="Calibri" w:hAnsi="Calibri"/>
          <w:color w:val="000000"/>
          <w:sz w:val="22"/>
        </w:rPr>
        <w:t xml:space="preserve"> and </w:t>
      </w:r>
      <w:r>
        <w:rPr>
          <w:rFonts w:ascii="Consolas" w:hAnsi="Consolas"/>
          <w:color w:val="000000"/>
          <w:sz w:val="18"/>
        </w:rPr>
        <w:t>FAIL</w:t>
      </w:r>
      <w:r>
        <w:rPr>
          <w:rFonts w:ascii="Calibri" w:hAnsi="Calibri"/>
          <w:color w:val="000000"/>
          <w:sz w:val="22"/>
        </w:rPr>
        <w:t xml:space="preserve"> contribute equally. This is decisive coverage, not a probability, goodness score, model belief, or truth estimate. The canonical representation is an exact numerator and denominator. Zero denominator is </w:t>
      </w:r>
      <w:r>
        <w:rPr>
          <w:rFonts w:ascii="Consolas" w:hAnsi="Consolas"/>
          <w:color w:val="000000"/>
          <w:sz w:val="18"/>
        </w:rPr>
        <w:t>UNDEFINED</w:t>
      </w:r>
      <w:r>
        <w:rPr>
          <w:rFonts w:ascii="Calibri" w:hAnsi="Calibri"/>
          <w:color w:val="000000"/>
          <w:sz w:val="22"/>
        </w:rPr>
        <w:t>.</w:t>
      </w:r>
    </w:p>
    <w:p>
      <w:r>
        <w:rPr>
          <w:rFonts w:ascii="Consolas" w:hAnsi="Consolas"/>
          <w:color w:val="000000"/>
          <w:sz w:val="18"/>
        </w:rPr>
        <w:t>calibrated</w:t>
      </w:r>
      <w:r>
        <w:rPr>
          <w:rFonts w:ascii="Calibri" w:hAnsi="Calibri"/>
          <w:color w:val="000000"/>
          <w:sz w:val="22"/>
        </w:rPr>
        <w:t xml:space="preserve"> is true only when ledger integrity and independent replay pass, all required applicable checks pass, no required observation is unknown/stale/ error, every declared ripple-effect observation is current, and every consequence has a bounded response contract.</w:t>
      </w:r>
    </w:p>
    <w:p>
      <w:r>
        <w:rPr>
          <w:rFonts w:ascii="Calibri" w:hAnsi="Calibri"/>
          <w:color w:val="000000"/>
          <w:sz w:val="22"/>
        </w:rPr>
        <w:t>The indicator lamps are projections of this vector. They must expose text, icon or pattern, reason code, and the last accepted transition. Red identifies a named blocking condition and consequence. It does not erase the current task or automatically roll back. It holds the next chat until a trusted owner appends a scoped, single-use acknowledgement. Acknowledgement permits proceeding; it does not turn the underlying condition green.</w:t>
      </w:r>
    </w:p>
    <w:p>
      <w:pPr>
        <w:pStyle w:val="Heading2"/>
      </w:pPr>
      <w:r>
        <w:rPr>
          <w:rFonts w:ascii="Calibri" w:hAnsi="Calibri"/>
          <w:b/>
          <w:color w:val="2E74B5"/>
          <w:sz w:val="26"/>
        </w:rPr>
        <w:t>11. Optimizer and model authority ceiling</w:t>
      </w:r>
    </w:p>
    <w:p>
      <w:r>
        <w:rPr>
          <w:rFonts w:ascii="Calibri" w:hAnsi="Calibri"/>
          <w:color w:val="000000"/>
          <w:sz w:val="22"/>
        </w:rPr>
        <w:t>An optimizer may propose objectives, candidates, schedules, tests, and predictions. It may not:</w:t>
      </w:r>
    </w:p>
    <w:p>
      <w:pPr>
        <w:pStyle w:val="ListBullet"/>
      </w:pPr>
      <w:r>
        <w:rPr>
          <w:rFonts w:ascii="Calibri" w:hAnsi="Calibri"/>
          <w:color w:val="000000"/>
          <w:sz w:val="22"/>
        </w:rPr>
        <w:t>write or silently reinterpret its own admission policy;</w:t>
      </w:r>
    </w:p>
    <w:p>
      <w:pPr>
        <w:pStyle w:val="ListBullet"/>
      </w:pPr>
      <w:r>
        <w:rPr>
          <w:rFonts w:ascii="Calibri" w:hAnsi="Calibri"/>
          <w:color w:val="000000"/>
          <w:sz w:val="22"/>
        </w:rPr>
        <w:t>grant or revoke authority;</w:t>
      </w:r>
    </w:p>
    <w:p>
      <w:pPr>
        <w:pStyle w:val="ListBullet"/>
      </w:pPr>
      <w:r>
        <w:rPr>
          <w:rFonts w:ascii="Calibri" w:hAnsi="Calibri"/>
          <w:color w:val="000000"/>
          <w:sz w:val="22"/>
        </w:rPr>
        <w:t>select its own witness-independence class;</w:t>
      </w:r>
    </w:p>
    <w:p>
      <w:pPr>
        <w:pStyle w:val="ListBullet"/>
      </w:pPr>
      <w:r>
        <w:rPr>
          <w:rFonts w:ascii="Calibri" w:hAnsi="Calibri"/>
          <w:color w:val="000000"/>
          <w:sz w:val="22"/>
        </w:rPr>
        <w:t>declare its own external outcome successful;</w:t>
      </w:r>
    </w:p>
    <w:p>
      <w:pPr>
        <w:pStyle w:val="ListBullet"/>
      </w:pPr>
      <w:r>
        <w:rPr>
          <w:rFonts w:ascii="Calibri" w:hAnsi="Calibri"/>
          <w:color w:val="000000"/>
          <w:sz w:val="22"/>
        </w:rPr>
        <w:t>accept its own state transition;</w:t>
      </w:r>
    </w:p>
    <w:p>
      <w:pPr>
        <w:pStyle w:val="ListBullet"/>
      </w:pPr>
      <w:r>
        <w:rPr>
          <w:rFonts w:ascii="Calibri" w:hAnsi="Calibri"/>
          <w:color w:val="000000"/>
          <w:sz w:val="22"/>
        </w:rPr>
        <w:t>convert an unavailable observation into a pass; or</w:t>
      </w:r>
    </w:p>
    <w:p>
      <w:pPr>
        <w:pStyle w:val="ListBullet"/>
      </w:pPr>
      <w:r>
        <w:rPr>
          <w:rFonts w:ascii="Calibri" w:hAnsi="Calibri"/>
          <w:color w:val="000000"/>
          <w:sz w:val="22"/>
        </w:rPr>
        <w:t>widen release, egress, or data-retention scope.</w:t>
      </w:r>
    </w:p>
    <w:p>
      <w:r>
        <w:rPr>
          <w:rFonts w:ascii="Calibri" w:hAnsi="Calibri"/>
          <w:color w:val="000000"/>
          <w:sz w:val="22"/>
        </w:rPr>
        <w:t>This separation reduces specification gaming. Outcome value remains distinct from protocol conformance.</w:t>
      </w:r>
    </w:p>
    <w:p>
      <w:pPr>
        <w:pStyle w:val="Heading2"/>
      </w:pPr>
      <w:r>
        <w:rPr>
          <w:rFonts w:ascii="Calibri" w:hAnsi="Calibri"/>
          <w:b/>
          <w:color w:val="2E74B5"/>
          <w:sz w:val="26"/>
        </w:rPr>
        <w:t>12. Adjacent systems and non-alias rules</w:t>
      </w:r>
    </w:p>
    <w:p>
      <w:pPr>
        <w:pStyle w:val="ListBullet"/>
      </w:pPr>
      <w:r>
        <w:rPr>
          <w:rFonts w:ascii="Calibri" w:hAnsi="Calibri"/>
          <w:color w:val="000000"/>
          <w:sz w:val="22"/>
        </w:rPr>
        <w:t>Feedback control supplies established language for sensing, delay,</w:t>
      </w:r>
    </w:p>
    <w:p>
      <w:r>
        <w:rPr>
          <w:rFonts w:ascii="Calibri" w:hAnsi="Calibri"/>
          <w:color w:val="000000"/>
          <w:sz w:val="22"/>
        </w:rPr>
        <w:t>disturbance, stability, and recovery [S05]. Governance accepted state is not a physical state estimate.</w:t>
      </w:r>
    </w:p>
    <w:p>
      <w:pPr>
        <w:pStyle w:val="ListBullet"/>
      </w:pPr>
      <w:r>
        <w:rPr>
          <w:rFonts w:ascii="Calibri" w:hAnsi="Calibri"/>
          <w:color w:val="000000"/>
          <w:sz w:val="22"/>
        </w:rPr>
        <w:t>Metastability-containing circuits show a domain where bounded unresolved</w:t>
      </w:r>
    </w:p>
    <w:p>
      <w:r>
        <w:rPr>
          <w:rFonts w:ascii="Calibri" w:hAnsi="Calibri"/>
          <w:color w:val="000000"/>
          <w:sz w:val="22"/>
        </w:rPr>
        <w:t>values are preferable to forced binary output [S08]. Electronic metastability is not evidence uncertainty.</w:t>
      </w:r>
    </w:p>
    <w:p>
      <w:pPr>
        <w:pStyle w:val="ListBullet"/>
      </w:pPr>
      <w:r>
        <w:rPr>
          <w:rFonts w:ascii="Calibri" w:hAnsi="Calibri"/>
          <w:color w:val="000000"/>
          <w:sz w:val="22"/>
        </w:rPr>
        <w:t>Petri nets and reaction networks support resource/enabling intuition [S09].</w:t>
      </w:r>
    </w:p>
    <w:p>
      <w:r>
        <w:rPr>
          <w:rFonts w:ascii="Calibri" w:hAnsi="Calibri"/>
          <w:color w:val="000000"/>
          <w:sz w:val="22"/>
        </w:rPr>
        <w:t>STP deltas inherit no chemical kinetics.</w:t>
      </w:r>
    </w:p>
    <w:p>
      <w:pPr>
        <w:pStyle w:val="ListBullet"/>
      </w:pPr>
      <w:r>
        <w:rPr>
          <w:rFonts w:ascii="Calibri" w:hAnsi="Calibri"/>
          <w:color w:val="000000"/>
          <w:sz w:val="22"/>
        </w:rPr>
        <w:t>Quantum commutation and premonoidal semantics show that exchangeability is</w:t>
      </w:r>
    </w:p>
    <w:p>
      <w:r>
        <w:rPr>
          <w:rFonts w:ascii="Calibri" w:hAnsi="Calibri"/>
          <w:color w:val="000000"/>
          <w:sz w:val="22"/>
        </w:rPr>
        <w:t>scoped to operations and effects [S10, S11]. Agent actions are not quantum operators.</w:t>
      </w:r>
    </w:p>
    <w:p>
      <w:pPr>
        <w:pStyle w:val="ListBullet"/>
      </w:pPr>
      <w:r>
        <w:rPr>
          <w:rFonts w:ascii="Calibri" w:hAnsi="Calibri"/>
          <w:color w:val="000000"/>
          <w:sz w:val="22"/>
        </w:rPr>
        <w:t>CALM separates monotone coordination-free computations from non-monotone</w:t>
      </w:r>
    </w:p>
    <w:p>
      <w:r>
        <w:rPr>
          <w:rFonts w:ascii="Calibri" w:hAnsi="Calibri"/>
          <w:color w:val="000000"/>
          <w:sz w:val="22"/>
        </w:rPr>
        <w:t>ones [S03]. An append-only ledger can still produce a non-monotone current projection.</w:t>
      </w:r>
    </w:p>
    <w:p>
      <w:r>
        <w:rPr>
          <w:rFonts w:ascii="Calibri" w:hAnsi="Calibri"/>
          <w:color w:val="000000"/>
          <w:sz w:val="22"/>
        </w:rPr>
        <w:t>Every such mapping belongs in the mathematical correspondence register with assumptions, counterexample, proof artifact, status, and explicit non-claims.</w:t>
      </w:r>
    </w:p>
    <w:p>
      <w:pPr>
        <w:pStyle w:val="Heading2"/>
      </w:pPr>
      <w:r>
        <w:rPr>
          <w:rFonts w:ascii="Calibri" w:hAnsi="Calibri"/>
          <w:b/>
          <w:color w:val="2E74B5"/>
          <w:sz w:val="26"/>
        </w:rPr>
        <w:t>13. Harness-neutral adapters and hooks</w:t>
      </w:r>
    </w:p>
    <w:p>
      <w:r>
        <w:rPr>
          <w:rFonts w:ascii="Calibri" w:hAnsi="Calibri"/>
          <w:color w:val="000000"/>
          <w:sz w:val="22"/>
        </w:rPr>
        <w:t>Canonical receipts contain no raw prompt, transcript, hidden reasoning, token, credential, or private source payload. Adapters may submit only schema-valid, subject-bound, policy-bound receipts. Raw code and private research stay local until a one-shot share gate validates an allowlisted package.</w:t>
      </w:r>
    </w:p>
    <w:p>
      <w:r>
        <w:rPr>
          <w:rFonts w:ascii="Calibri" w:hAnsi="Calibri"/>
          <w:color w:val="000000"/>
          <w:sz w:val="22"/>
        </w:rPr>
        <w:t>Codex, GitHub Actions, Cloudflare, Kubernetes, Docker, telemetry backends, and UI pets are adapters or presentation surfaces. None is the accepted-state ledger. No current official OpenAI source for a stable Codex hook contract was located for this packet, so a hook cannot be a load-bearing evidence source. Typed events may be imported later only through a versioned adapter and the normal STP intake gate.</w:t>
      </w:r>
    </w:p>
    <w:p>
      <w:pPr>
        <w:pStyle w:val="Heading2"/>
      </w:pPr>
      <w:r>
        <w:rPr>
          <w:rFonts w:ascii="Calibri" w:hAnsi="Calibri"/>
          <w:b/>
          <w:color w:val="2E74B5"/>
          <w:sz w:val="26"/>
        </w:rPr>
        <w:t>14. Conformance evidence in this packet</w:t>
      </w:r>
    </w:p>
    <w:p>
      <w:r>
        <w:rPr>
          <w:rFonts w:ascii="Calibri" w:hAnsi="Calibri"/>
          <w:color w:val="000000"/>
          <w:sz w:val="22"/>
        </w:rPr>
        <w:t>The JavaScript and Python reference implementations independently evaluate the same synthetic fixture file. The current packet covers:</w:t>
      </w:r>
    </w:p>
    <w:p>
      <w:pPr>
        <w:pStyle w:val="ListBullet"/>
      </w:pPr>
      <w:r>
        <w:rPr>
          <w:rFonts w:ascii="Calibri" w:hAnsi="Calibri"/>
          <w:color w:val="000000"/>
          <w:sz w:val="22"/>
        </w:rPr>
        <w:t>two schedules of disjoint writes;</w:t>
      </w:r>
    </w:p>
    <w:p>
      <w:pPr>
        <w:pStyle w:val="ListBullet"/>
      </w:pPr>
      <w:r>
        <w:rPr>
          <w:rFonts w:ascii="Calibri" w:hAnsi="Calibri"/>
          <w:color w:val="000000"/>
          <w:sz w:val="22"/>
        </w:rPr>
        <w:t>an order-dependent same-key pair;</w:t>
      </w:r>
    </w:p>
    <w:p>
      <w:pPr>
        <w:pStyle w:val="ListBullet"/>
      </w:pPr>
      <w:r>
        <w:rPr>
          <w:rFonts w:ascii="Calibri" w:hAnsi="Calibri"/>
          <w:color w:val="000000"/>
          <w:sz w:val="22"/>
        </w:rPr>
        <w:t>all six schedules of a pairwise-valid but triple-invalid budget set;</w:t>
      </w:r>
    </w:p>
    <w:p>
      <w:pPr>
        <w:pStyle w:val="ListBullet"/>
      </w:pPr>
      <w:r>
        <w:rPr>
          <w:rFonts w:ascii="Calibri" w:hAnsi="Calibri"/>
          <w:color w:val="000000"/>
          <w:sz w:val="22"/>
        </w:rPr>
        <w:t>equal accepted projection with different external-effect order;</w:t>
      </w:r>
    </w:p>
    <w:p>
      <w:pPr>
        <w:pStyle w:val="ListBullet"/>
      </w:pPr>
      <w:r>
        <w:rPr>
          <w:rFonts w:ascii="Calibri" w:hAnsi="Calibri"/>
          <w:color w:val="000000"/>
          <w:sz w:val="22"/>
        </w:rPr>
        <w:t>broken causal frontier and policy-generation mismatch;</w:t>
      </w:r>
    </w:p>
    <w:p>
      <w:pPr>
        <w:pStyle w:val="ListBullet"/>
      </w:pPr>
      <w:r>
        <w:rPr>
          <w:rFonts w:ascii="Calibri" w:hAnsi="Calibri"/>
          <w:color w:val="000000"/>
          <w:sz w:val="22"/>
        </w:rPr>
        <w:t>absent termination evidence;</w:t>
      </w:r>
    </w:p>
    <w:p>
      <w:pPr>
        <w:pStyle w:val="ListBullet"/>
      </w:pPr>
      <w:r>
        <w:rPr>
          <w:rFonts w:ascii="Calibri" w:hAnsi="Calibri"/>
          <w:color w:val="000000"/>
          <w:sz w:val="22"/>
        </w:rPr>
        <w:t>settled, timeout, duplicate, stale, conflicting, and revoked effect cases;</w:t>
      </w:r>
    </w:p>
    <w:p>
      <w:pPr>
        <w:pStyle w:val="ListBullet"/>
      </w:pPr>
      <w:r>
        <w:rPr>
          <w:rFonts w:ascii="Calibri" w:hAnsi="Calibri"/>
          <w:color w:val="000000"/>
          <w:sz w:val="22"/>
        </w:rPr>
        <w:t>bounded, observation-overloaded, recovery-overloaded, and unit-mismatched</w:t>
      </w:r>
    </w:p>
    <w:p>
      <w:r>
        <w:rPr>
          <w:rFonts w:ascii="Calibri" w:hAnsi="Calibri"/>
          <w:color w:val="000000"/>
          <w:sz w:val="22"/>
        </w:rPr>
        <w:t>capacity cases.</w:t>
      </w:r>
    </w:p>
    <w:p>
      <w:r>
        <w:rPr>
          <w:rFonts w:ascii="Calibri" w:hAnsi="Calibri"/>
          <w:color w:val="000000"/>
          <w:sz w:val="22"/>
        </w:rPr>
        <w:t>Passing these fixtures proves agreement for the enumerated synthetic records. It does not prove all deltas, all schedules, live external effects, global confluence, fairness, or semantic truth.</w:t>
      </w:r>
    </w:p>
    <w:p>
      <w:pPr>
        <w:pStyle w:val="Heading2"/>
      </w:pPr>
      <w:r>
        <w:rPr>
          <w:rFonts w:ascii="Calibri" w:hAnsi="Calibri"/>
          <w:b/>
          <w:color w:val="2E74B5"/>
          <w:sz w:val="26"/>
        </w:rPr>
        <w:t>15. Change record from v1.1</w:t>
      </w:r>
    </w:p>
    <w:p>
      <w:r>
        <w:rPr>
          <w:rFonts w:ascii="Calibri" w:hAnsi="Calibri"/>
          <w:color w:val="000000"/>
          <w:sz w:val="22"/>
        </w:rPr>
        <w:t>This candidate proposes the following append-only changes:</w:t>
      </w:r>
    </w:p>
    <w:p>
      <w:pPr>
        <w:pStyle w:val="ListNumber"/>
      </w:pPr>
      <w:r>
        <w:rPr>
          <w:rFonts w:ascii="Calibri" w:hAnsi="Calibri"/>
          <w:color w:val="000000"/>
          <w:sz w:val="22"/>
        </w:rPr>
        <w:t>Add five independent guarantee classes instead of using replay determinism</w:t>
      </w:r>
    </w:p>
    <w:p>
      <w:r>
        <w:rPr>
          <w:rFonts w:ascii="Calibri" w:hAnsi="Calibri"/>
          <w:color w:val="000000"/>
          <w:sz w:val="22"/>
        </w:rPr>
        <w:t>as a proxy for concurrency or effect safety.</w:t>
      </w:r>
    </w:p>
    <w:p>
      <w:pPr>
        <w:pStyle w:val="ListNumber"/>
      </w:pPr>
      <w:r>
        <w:rPr>
          <w:rFonts w:ascii="Calibri" w:hAnsi="Calibri"/>
          <w:color w:val="000000"/>
          <w:sz w:val="22"/>
        </w:rPr>
        <w:t>Add causal-frontier, pair/triple, effect-finality, and capacity contracts.</w:t>
      </w:r>
    </w:p>
    <w:p>
      <w:pPr>
        <w:pStyle w:val="ListNumber"/>
      </w:pPr>
      <w:r>
        <w:rPr>
          <w:rFonts w:ascii="Calibri" w:hAnsi="Calibri"/>
          <w:color w:val="000000"/>
          <w:sz w:val="22"/>
        </w:rPr>
        <w:t>Replace the loose throughput inequality with the unit-bearing backlog</w:t>
      </w:r>
    </w:p>
    <w:p>
      <w:r>
        <w:rPr>
          <w:rFonts w:ascii="Calibri" w:hAnsi="Calibri"/>
          <w:color w:val="000000"/>
          <w:sz w:val="22"/>
        </w:rPr>
        <w:t>recurrence in Equation (10).</w:t>
      </w:r>
    </w:p>
    <w:p>
      <w:pPr>
        <w:pStyle w:val="ListNumber"/>
      </w:pPr>
      <w:r>
        <w:rPr>
          <w:rFonts w:ascii="Calibri" w:hAnsi="Calibri"/>
          <w:color w:val="000000"/>
          <w:sz w:val="22"/>
        </w:rPr>
        <w:t>Add the exact drift vector in Equation (11) and retain neutral confidence in</w:t>
      </w:r>
    </w:p>
    <w:p>
      <w:r>
        <w:rPr>
          <w:rFonts w:ascii="Calibri" w:hAnsi="Calibri"/>
          <w:color w:val="000000"/>
          <w:sz w:val="22"/>
        </w:rPr>
        <w:t>Equation (12).</w:t>
      </w:r>
    </w:p>
    <w:p>
      <w:pPr>
        <w:pStyle w:val="ListNumber"/>
      </w:pPr>
      <w:r>
        <w:rPr>
          <w:rFonts w:ascii="Calibri" w:hAnsi="Calibri"/>
          <w:color w:val="000000"/>
          <w:sz w:val="22"/>
        </w:rPr>
        <w:t>Add a mathematical correspondence register that prevents unscoped theorem</w:t>
      </w:r>
    </w:p>
    <w:p>
      <w:r>
        <w:rPr>
          <w:rFonts w:ascii="Calibri" w:hAnsi="Calibri"/>
          <w:color w:val="000000"/>
          <w:sz w:val="22"/>
        </w:rPr>
        <w:t>transfer.</w:t>
      </w:r>
    </w:p>
    <w:p>
      <w:pPr>
        <w:pStyle w:val="ListNumber"/>
      </w:pPr>
      <w:r>
        <w:rPr>
          <w:rFonts w:ascii="Calibri" w:hAnsi="Calibri"/>
          <w:color w:val="000000"/>
          <w:sz w:val="22"/>
        </w:rPr>
        <w:t>Correct the proposed Operational Transformation bibliographic record.</w:t>
      </w:r>
    </w:p>
    <w:p>
      <w:pPr>
        <w:pStyle w:val="ListNumber"/>
      </w:pPr>
      <w:r>
        <w:rPr>
          <w:rFonts w:ascii="Calibri" w:hAnsi="Calibri"/>
          <w:color w:val="000000"/>
          <w:sz w:val="22"/>
        </w:rPr>
        <w:t>Preserve the attached Ledger identity mismatch and the unavailable pinned</w:t>
      </w:r>
    </w:p>
    <w:p>
      <w:r>
        <w:rPr>
          <w:rFonts w:ascii="Calibri" w:hAnsi="Calibri"/>
          <w:color w:val="000000"/>
          <w:sz w:val="22"/>
        </w:rPr>
        <w:t>Ledger bytes as blocking facts.</w:t>
      </w:r>
    </w:p>
    <w:p>
      <w:r>
        <w:rPr>
          <w:rFonts w:ascii="Calibri" w:hAnsi="Calibri"/>
          <w:color w:val="000000"/>
          <w:sz w:val="22"/>
        </w:rPr>
        <w:t>No prior accepted decision is silently rewritten. The machine-verifiable change events are stored in a separate proposed hash-chained log.</w:t>
      </w:r>
    </w:p>
    <w:p>
      <w:pPr>
        <w:pStyle w:val="Heading2"/>
      </w:pPr>
      <w:r>
        <w:rPr>
          <w:rFonts w:ascii="Calibri" w:hAnsi="Calibri"/>
          <w:b/>
          <w:color w:val="2E74B5"/>
          <w:sz w:val="26"/>
        </w:rPr>
        <w:t>16. Acceptance gates</w:t>
      </w:r>
    </w:p>
    <w:p>
      <w:r>
        <w:rPr>
          <w:rFonts w:ascii="Calibri" w:hAnsi="Calibri"/>
          <w:color w:val="000000"/>
          <w:sz w:val="22"/>
        </w:rPr>
        <w:t>This candidate may advance only after:</w:t>
      </w:r>
    </w:p>
    <w:p>
      <w:pPr>
        <w:pStyle w:val="ListBullet"/>
      </w:pPr>
      <w:r>
        <w:rPr>
          <w:rFonts w:ascii="Calibri" w:hAnsi="Calibri"/>
          <w:color w:val="000000"/>
          <w:sz w:val="22"/>
        </w:rPr>
        <w:t>owner review of every normative definition and non-claim;</w:t>
      </w:r>
    </w:p>
    <w:p>
      <w:pPr>
        <w:pStyle w:val="ListBullet"/>
      </w:pPr>
      <w:r>
        <w:rPr>
          <w:rFonts w:ascii="Calibri" w:hAnsi="Calibri"/>
          <w:color w:val="000000"/>
          <w:sz w:val="22"/>
        </w:rPr>
        <w:t>independent citation audit of each source locator used normatively;</w:t>
      </w:r>
    </w:p>
    <w:p>
      <w:pPr>
        <w:pStyle w:val="ListBullet"/>
      </w:pPr>
      <w:r>
        <w:rPr>
          <w:rFonts w:ascii="Calibri" w:hAnsi="Calibri"/>
          <w:color w:val="000000"/>
          <w:sz w:val="22"/>
        </w:rPr>
        <w:t>review of the corrected bibliographic record;</w:t>
      </w:r>
    </w:p>
    <w:p>
      <w:pPr>
        <w:pStyle w:val="ListBullet"/>
      </w:pPr>
      <w:r>
        <w:rPr>
          <w:rFonts w:ascii="Calibri" w:hAnsi="Calibri"/>
          <w:color w:val="000000"/>
          <w:sz w:val="22"/>
        </w:rPr>
        <w:t>proof or explicit limitation for every proposed mathematical transfer;</w:t>
      </w:r>
    </w:p>
    <w:p>
      <w:pPr>
        <w:pStyle w:val="ListBullet"/>
      </w:pPr>
      <w:r>
        <w:rPr>
          <w:rFonts w:ascii="Calibri" w:hAnsi="Calibri"/>
          <w:color w:val="000000"/>
          <w:sz w:val="22"/>
        </w:rPr>
        <w:t>review of equivalence profiles, invariant completeness, and effect commit</w:t>
      </w:r>
    </w:p>
    <w:p>
      <w:r>
        <w:rPr>
          <w:rFonts w:ascii="Calibri" w:hAnsi="Calibri"/>
          <w:color w:val="000000"/>
          <w:sz w:val="22"/>
        </w:rPr>
        <w:t>points;</w:t>
      </w:r>
    </w:p>
    <w:p>
      <w:pPr>
        <w:pStyle w:val="ListBullet"/>
      </w:pPr>
      <w:r>
        <w:rPr>
          <w:rFonts w:ascii="Calibri" w:hAnsi="Calibri"/>
          <w:color w:val="000000"/>
          <w:sz w:val="22"/>
        </w:rPr>
        <w:t>dual-reducer replay from a fresh checkout;</w:t>
      </w:r>
    </w:p>
    <w:p>
      <w:pPr>
        <w:pStyle w:val="ListBullet"/>
      </w:pPr>
      <w:r>
        <w:rPr>
          <w:rFonts w:ascii="Calibri" w:hAnsi="Calibri"/>
          <w:color w:val="000000"/>
          <w:sz w:val="22"/>
        </w:rPr>
        <w:t>privacy and release allowlist checks;</w:t>
      </w:r>
    </w:p>
    <w:p>
      <w:pPr>
        <w:pStyle w:val="ListBullet"/>
      </w:pPr>
      <w:r>
        <w:rPr>
          <w:rFonts w:ascii="Calibri" w:hAnsi="Calibri"/>
          <w:color w:val="000000"/>
          <w:sz w:val="22"/>
        </w:rPr>
        <w:t>resolution or explicit continued blocking of the pinned-Ledger identity gap;</w:t>
      </w:r>
    </w:p>
    <w:p>
      <w:r>
        <w:rPr>
          <w:rFonts w:ascii="Calibri" w:hAnsi="Calibri"/>
          <w:color w:val="000000"/>
          <w:sz w:val="22"/>
        </w:rPr>
        <w:t>and</w:t>
      </w:r>
    </w:p>
    <w:p>
      <w:pPr>
        <w:pStyle w:val="ListBullet"/>
      </w:pPr>
      <w:r>
        <w:rPr>
          <w:rFonts w:ascii="Calibri" w:hAnsi="Calibri"/>
          <w:color w:val="000000"/>
          <w:sz w:val="22"/>
        </w:rPr>
        <w:t xml:space="preserve">an append-only owner receipt that says </w:t>
      </w:r>
      <w:r>
        <w:rPr>
          <w:rFonts w:ascii="Consolas" w:hAnsi="Consolas"/>
          <w:color w:val="000000"/>
          <w:sz w:val="18"/>
        </w:rPr>
        <w:t>ACCEPT</w:t>
      </w:r>
      <w:r>
        <w:rPr>
          <w:rFonts w:ascii="Calibri" w:hAnsi="Calibri"/>
          <w:color w:val="000000"/>
          <w:sz w:val="22"/>
        </w:rPr>
        <w:t xml:space="preserve">, </w:t>
      </w:r>
      <w:r>
        <w:rPr>
          <w:rFonts w:ascii="Consolas" w:hAnsi="Consolas"/>
          <w:color w:val="000000"/>
          <w:sz w:val="18"/>
        </w:rPr>
        <w:t>ACCEPT_WITH_LIMITS</w:t>
      </w:r>
      <w:r>
        <w:rPr>
          <w:rFonts w:ascii="Calibri" w:hAnsi="Calibri"/>
          <w:color w:val="000000"/>
          <w:sz w:val="22"/>
        </w:rPr>
        <w:t>,</w:t>
      </w:r>
    </w:p>
    <w:p>
      <w:r>
        <w:rPr>
          <w:rFonts w:ascii="Consolas" w:hAnsi="Consolas"/>
          <w:color w:val="000000"/>
          <w:sz w:val="18"/>
        </w:rPr>
        <w:t>DEFER</w:t>
      </w:r>
      <w:r>
        <w:rPr>
          <w:rFonts w:ascii="Calibri" w:hAnsi="Calibri"/>
          <w:color w:val="000000"/>
          <w:sz w:val="22"/>
        </w:rPr>
        <w:t xml:space="preserve">, </w:t>
      </w:r>
      <w:r>
        <w:rPr>
          <w:rFonts w:ascii="Consolas" w:hAnsi="Consolas"/>
          <w:color w:val="000000"/>
          <w:sz w:val="18"/>
        </w:rPr>
        <w:t>REJECT</w:t>
      </w:r>
      <w:r>
        <w:rPr>
          <w:rFonts w:ascii="Calibri" w:hAnsi="Calibri"/>
          <w:color w:val="000000"/>
          <w:sz w:val="22"/>
        </w:rPr>
        <w:t xml:space="preserve">, or </w:t>
      </w:r>
      <w:r>
        <w:rPr>
          <w:rFonts w:ascii="Consolas" w:hAnsi="Consolas"/>
          <w:color w:val="000000"/>
          <w:sz w:val="18"/>
        </w:rPr>
        <w:t>SUPERSEDE</w:t>
      </w:r>
      <w:r>
        <w:rPr>
          <w:rFonts w:ascii="Calibri" w:hAnsi="Calibri"/>
          <w:color w:val="000000"/>
          <w:sz w:val="22"/>
        </w:rPr>
        <w:t>.</w:t>
      </w:r>
    </w:p>
    <w:p>
      <w:r>
        <w:rPr>
          <w:rFonts w:ascii="Calibri" w:hAnsi="Calibri"/>
          <w:color w:val="000000"/>
          <w:sz w:val="22"/>
        </w:rPr>
        <w:t xml:space="preserve">Until then the correct state is </w:t>
      </w:r>
      <w:r>
        <w:rPr>
          <w:rFonts w:ascii="Consolas" w:hAnsi="Consolas"/>
          <w:color w:val="000000"/>
          <w:sz w:val="18"/>
        </w:rPr>
        <w:t>PROPOSED</w:t>
      </w:r>
      <w:r>
        <w:rPr>
          <w:rFonts w:ascii="Calibri" w:hAnsi="Calibri"/>
          <w:color w:val="000000"/>
          <w:sz w:val="22"/>
        </w:rPr>
        <w:t>.</w:t>
      </w:r>
    </w:p>
    <w:p>
      <w:pPr>
        <w:pStyle w:val="Heading2"/>
      </w:pPr>
      <w:r>
        <w:rPr>
          <w:rFonts w:ascii="Calibri" w:hAnsi="Calibri"/>
          <w:b/>
          <w:color w:val="2E74B5"/>
          <w:sz w:val="26"/>
        </w:rPr>
        <w:t>References</w:t>
      </w:r>
    </w:p>
    <w:p>
      <w:r>
        <w:rPr>
          <w:rFonts w:ascii="Calibri" w:hAnsi="Calibri"/>
          <w:color w:val="000000"/>
          <w:sz w:val="22"/>
        </w:rPr>
        <w:t xml:space="preserve">The authoritative citation scope and verification status are recorded in </w:t>
      </w:r>
      <w:r>
        <w:rPr>
          <w:rFonts w:ascii="Consolas" w:hAnsi="Consolas"/>
          <w:color w:val="000000"/>
          <w:sz w:val="18"/>
        </w:rPr>
        <w:t>docs/research/STP_V1_2_SOURCE_REGISTER.md</w:t>
      </w:r>
      <w:r>
        <w:rPr>
          <w:rFonts w:ascii="Calibri" w:hAnsi="Calibri"/>
          <w:color w:val="000000"/>
          <w:sz w:val="22"/>
        </w:rPr>
        <w:t>. Reference IDs S01-S12 in this candidate resolve to that register.</w:t>
      </w:r>
    </w:p>
    <w:p>
      <w:r>
        <w:br w:type="page"/>
      </w:r>
    </w:p>
    <w:p>
      <w:pPr>
        <w:pStyle w:val="Heading1"/>
      </w:pPr>
      <w:r>
        <w:rPr>
          <w:rFonts w:ascii="Calibri" w:hAnsi="Calibri"/>
          <w:b/>
          <w:color w:val="2E74B5"/>
          <w:sz w:val="32"/>
        </w:rPr>
        <w:t>Appendix A. Source and identity register</w:t>
      </w:r>
    </w:p>
    <w:p>
      <w:r>
        <w:rPr>
          <w:rFonts w:ascii="Calibri" w:hAnsi="Calibri"/>
          <w:color w:val="000000"/>
          <w:sz w:val="22"/>
        </w:rPr>
        <w:t>Status: PROPOSED; checked 2026-08-12</w:t>
      </w:r>
    </w:p>
    <w:p>
      <w:pPr>
        <w:pStyle w:val="Heading2"/>
      </w:pPr>
      <w:r>
        <w:rPr>
          <w:rFonts w:ascii="Calibri" w:hAnsi="Calibri"/>
          <w:b/>
          <w:color w:val="2E74B5"/>
          <w:sz w:val="26"/>
        </w:rPr>
        <w:t>Identity boundary</w:t>
      </w:r>
    </w:p>
    <w:tbl>
      <w:tblPr>
        <w:tblStyle w:val="TableGrid"/>
        <w:tblW w:type="dxa" w:w="9360"/>
        <w:jc w:val="left"/>
        <w:tblLayout w:type="fixed"/>
        <w:tblLook w:firstColumn="1" w:firstRow="1" w:lastColumn="0" w:lastRow="0" w:noHBand="0" w:noVBand="1" w:val="04A0"/>
        <w:tblInd w:w="120" w:type="dxa"/>
      </w:tblPr>
      <w:tblGrid>
        <w:gridCol w:w="1900"/>
        <w:gridCol w:w="3430"/>
        <w:gridCol w:w="4030"/>
      </w:tblGrid>
      <w:tr>
        <w:trPr>
          <w:trHeight w:hRule="atLeast"/>
          <w:tblHeader w:val="true"/>
          <w:cantSplit/>
        </w:trPr>
        <w:tc>
          <w:tcPr>
            <w:tcW w:type="dxa" w:w="1900"/>
            <w:shd w:fill="E8EEF5"/>
            <w:vAlign w:val="top"/>
            <w:tcMar>
              <w:top w:w="80" w:type="dxa"/>
              <w:start w:w="120" w:type="dxa"/>
              <w:bottom w:w="80" w:type="dxa"/>
              <w:end w:w="120" w:type="dxa"/>
            </w:tcMar>
          </w:tcPr>
          <w:p>
            <w:pPr>
              <w:spacing w:after="0" w:line="240" w:lineRule="auto"/>
            </w:pPr>
            <w:r>
              <w:rPr>
                <w:rFonts w:ascii="Calibri" w:hAnsi="Calibri"/>
                <w:b/>
                <w:color w:val="0B2545"/>
                <w:sz w:val="18"/>
              </w:rPr>
              <w:t>Source</w:t>
            </w:r>
          </w:p>
        </w:tc>
        <w:tc>
          <w:tcPr>
            <w:tcW w:type="dxa" w:w="3430"/>
            <w:shd w:fill="E8EEF5"/>
            <w:vAlign w:val="top"/>
            <w:tcMar>
              <w:top w:w="80" w:type="dxa"/>
              <w:start w:w="120" w:type="dxa"/>
              <w:bottom w:w="80" w:type="dxa"/>
              <w:end w:w="120" w:type="dxa"/>
            </w:tcMar>
          </w:tcPr>
          <w:p>
            <w:pPr>
              <w:spacing w:after="0" w:line="240" w:lineRule="auto"/>
            </w:pPr>
            <w:r>
              <w:rPr>
                <w:rFonts w:ascii="Calibri" w:hAnsi="Calibri"/>
                <w:b/>
                <w:color w:val="0B2545"/>
                <w:sz w:val="18"/>
              </w:rPr>
              <w:t>Identity result</w:t>
            </w:r>
          </w:p>
        </w:tc>
        <w:tc>
          <w:tcPr>
            <w:tcW w:type="dxa" w:w="4030"/>
            <w:shd w:fill="E8EEF5"/>
            <w:vAlign w:val="top"/>
            <w:tcMar>
              <w:top w:w="80" w:type="dxa"/>
              <w:start w:w="120" w:type="dxa"/>
              <w:bottom w:w="80" w:type="dxa"/>
              <w:end w:w="120" w:type="dxa"/>
            </w:tcMar>
          </w:tcPr>
          <w:p>
            <w:pPr>
              <w:spacing w:after="0" w:line="240" w:lineRule="auto"/>
            </w:pPr>
            <w:r>
              <w:rPr>
                <w:rFonts w:ascii="Calibri" w:hAnsi="Calibri"/>
                <w:b/>
                <w:color w:val="0B2545"/>
                <w:sz w:val="18"/>
              </w:rPr>
              <w:t>Use in this packet</w:t>
            </w:r>
          </w:p>
        </w:tc>
      </w:tr>
      <w:tr>
        <w:trPr>
          <w:cantSplit/>
          <w:trHeight w:hRule="atLeast"/>
        </w:trPr>
        <w:tc>
          <w:tcPr>
            <w:tcW w:type="dxa" w:w="1900"/>
            <w:vAlign w:val="top"/>
            <w:tcMar>
              <w:top w:w="80" w:type="dxa"/>
              <w:start w:w="120" w:type="dxa"/>
              <w:bottom w:w="80" w:type="dxa"/>
              <w:end w:w="120" w:type="dxa"/>
            </w:tcMar>
          </w:tcPr>
          <w:p>
            <w:pPr>
              <w:spacing w:after="0" w:line="240" w:lineRule="auto"/>
            </w:pPr>
            <w:r>
              <w:rPr>
                <w:rFonts w:ascii="Calibri" w:hAnsi="Calibri"/>
                <w:color w:val="000000"/>
                <w:sz w:val="18"/>
              </w:rPr>
              <w:t>STP v1.1 attached PDF</w:t>
            </w:r>
          </w:p>
        </w:tc>
        <w:tc>
          <w:tcPr>
            <w:tcW w:type="dxa" w:w="3430"/>
            <w:vAlign w:val="top"/>
            <w:tcMar>
              <w:top w:w="80" w:type="dxa"/>
              <w:start w:w="120" w:type="dxa"/>
              <w:bottom w:w="80" w:type="dxa"/>
              <w:end w:w="120" w:type="dxa"/>
            </w:tcMar>
          </w:tcPr>
          <w:p>
            <w:pPr>
              <w:spacing w:after="0" w:line="240" w:lineRule="auto"/>
            </w:pPr>
            <w:r>
              <w:rPr>
                <w:rFonts w:ascii="Calibri" w:hAnsi="Calibri"/>
                <w:color w:val="000000"/>
                <w:sz w:val="18"/>
              </w:rPr>
              <w:t xml:space="preserve">SHA-256 </w:t>
            </w:r>
            <w:r>
              <w:rPr>
                <w:rFonts w:ascii="Consolas" w:hAnsi="Consolas"/>
                <w:color w:val="000000"/>
                <w:sz w:val="18"/>
              </w:rPr>
              <w:t>48aad2ce2f660f32c4af54547c189168bec722053a8e06b25946624ad2f30bf2</w:t>
            </w:r>
            <w:r>
              <w:rPr>
                <w:rFonts w:ascii="Calibri" w:hAnsi="Calibri"/>
                <w:color w:val="000000"/>
                <w:sz w:val="18"/>
              </w:rPr>
              <w:t>; all 28 pages rendered and inspected</w:t>
            </w:r>
          </w:p>
        </w:tc>
        <w:tc>
          <w:tcPr>
            <w:tcW w:type="dxa" w:w="4030"/>
            <w:vAlign w:val="top"/>
            <w:tcMar>
              <w:top w:w="80" w:type="dxa"/>
              <w:start w:w="120" w:type="dxa"/>
              <w:bottom w:w="80" w:type="dxa"/>
              <w:end w:w="120" w:type="dxa"/>
            </w:tcMar>
          </w:tcPr>
          <w:p>
            <w:pPr>
              <w:spacing w:after="0" w:line="240" w:lineRule="auto"/>
            </w:pPr>
            <w:r>
              <w:rPr>
                <w:rFonts w:ascii="Calibri" w:hAnsi="Calibri"/>
                <w:color w:val="000000"/>
                <w:sz w:val="18"/>
              </w:rPr>
              <w:t>Current baseline document; not modified in place</w:t>
            </w:r>
          </w:p>
        </w:tc>
      </w:tr>
      <w:tr>
        <w:trPr>
          <w:cantSplit/>
          <w:trHeight w:hRule="atLeast"/>
        </w:trPr>
        <w:tc>
          <w:tcPr>
            <w:tcW w:type="dxa" w:w="1900"/>
            <w:shd w:fill="F2F4F7"/>
            <w:vAlign w:val="top"/>
            <w:tcMar>
              <w:top w:w="80" w:type="dxa"/>
              <w:start w:w="120" w:type="dxa"/>
              <w:bottom w:w="80" w:type="dxa"/>
              <w:end w:w="120" w:type="dxa"/>
            </w:tcMar>
          </w:tcPr>
          <w:p>
            <w:pPr>
              <w:spacing w:after="0" w:line="240" w:lineRule="auto"/>
            </w:pPr>
            <w:r>
              <w:rPr>
                <w:rFonts w:ascii="Calibri" w:hAnsi="Calibri"/>
                <w:color w:val="000000"/>
                <w:sz w:val="18"/>
              </w:rPr>
              <w:t>Calibration Ledger v8 attached DOCX</w:t>
            </w:r>
          </w:p>
        </w:tc>
        <w:tc>
          <w:tcPr>
            <w:tcW w:type="dxa" w:w="3430"/>
            <w:shd w:fill="F2F4F7"/>
            <w:vAlign w:val="top"/>
            <w:tcMar>
              <w:top w:w="80" w:type="dxa"/>
              <w:start w:w="120" w:type="dxa"/>
              <w:bottom w:w="80" w:type="dxa"/>
              <w:end w:w="120" w:type="dxa"/>
            </w:tcMar>
          </w:tcPr>
          <w:p>
            <w:pPr>
              <w:spacing w:after="0" w:line="240" w:lineRule="auto"/>
            </w:pPr>
            <w:r>
              <w:rPr>
                <w:rFonts w:ascii="Calibri" w:hAnsi="Calibri"/>
                <w:color w:val="000000"/>
                <w:sz w:val="18"/>
              </w:rPr>
              <w:t xml:space="preserve">SHA-256 </w:t>
            </w:r>
            <w:r>
              <w:rPr>
                <w:rFonts w:ascii="Consolas" w:hAnsi="Consolas"/>
                <w:color w:val="000000"/>
                <w:sz w:val="18"/>
              </w:rPr>
              <w:t>17916bcf43158c6c875cd08352bc2d3c72c84844ff43dc8e86ee9621f4866927</w:t>
            </w:r>
            <w:r>
              <w:rPr>
                <w:rFonts w:ascii="Calibri" w:hAnsi="Calibri"/>
                <w:color w:val="000000"/>
                <w:sz w:val="18"/>
              </w:rPr>
              <w:t>; all 22 pages rendered and inspected</w:t>
            </w:r>
          </w:p>
        </w:tc>
        <w:tc>
          <w:tcPr>
            <w:tcW w:type="dxa" w:w="4030"/>
            <w:shd w:fill="F2F4F7"/>
            <w:vAlign w:val="top"/>
            <w:tcMar>
              <w:top w:w="80" w:type="dxa"/>
              <w:start w:w="120" w:type="dxa"/>
              <w:bottom w:w="80" w:type="dxa"/>
              <w:end w:w="120" w:type="dxa"/>
            </w:tcMar>
          </w:tcPr>
          <w:p>
            <w:pPr>
              <w:spacing w:after="0" w:line="240" w:lineRule="auto"/>
            </w:pPr>
            <w:r>
              <w:rPr>
                <w:rFonts w:ascii="Calibri" w:hAnsi="Calibri"/>
                <w:color w:val="000000"/>
                <w:sz w:val="18"/>
              </w:rPr>
              <w:t>Candidate reference only</w:t>
            </w:r>
          </w:p>
        </w:tc>
      </w:tr>
      <w:tr>
        <w:trPr>
          <w:cantSplit/>
          <w:trHeight w:hRule="atLeast"/>
        </w:trPr>
        <w:tc>
          <w:tcPr>
            <w:tcW w:type="dxa" w:w="1900"/>
            <w:vAlign w:val="top"/>
            <w:tcMar>
              <w:top w:w="80" w:type="dxa"/>
              <w:start w:w="120" w:type="dxa"/>
              <w:bottom w:w="80" w:type="dxa"/>
              <w:end w:w="120" w:type="dxa"/>
            </w:tcMar>
          </w:tcPr>
          <w:p>
            <w:pPr>
              <w:spacing w:after="0" w:line="240" w:lineRule="auto"/>
            </w:pPr>
            <w:r>
              <w:rPr>
                <w:rFonts w:ascii="Calibri" w:hAnsi="Calibri"/>
                <w:color w:val="000000"/>
                <w:sz w:val="18"/>
              </w:rPr>
              <w:t>Ledger digest pinned by STP v1.1</w:t>
            </w:r>
          </w:p>
        </w:tc>
        <w:tc>
          <w:tcPr>
            <w:tcW w:type="dxa" w:w="3430"/>
            <w:vAlign w:val="top"/>
            <w:tcMar>
              <w:top w:w="80" w:type="dxa"/>
              <w:start w:w="120" w:type="dxa"/>
              <w:bottom w:w="80" w:type="dxa"/>
              <w:end w:w="120" w:type="dxa"/>
            </w:tcMar>
          </w:tcPr>
          <w:p>
            <w:pPr>
              <w:spacing w:after="0" w:line="240" w:lineRule="auto"/>
            </w:pPr>
            <w:r>
              <w:rPr>
                <w:rFonts w:ascii="Calibri" w:hAnsi="Calibri"/>
                <w:color w:val="000000"/>
                <w:sz w:val="18"/>
              </w:rPr>
              <w:t xml:space="preserve">SHA-256 </w:t>
            </w:r>
            <w:r>
              <w:rPr>
                <w:rFonts w:ascii="Consolas" w:hAnsi="Consolas"/>
                <w:color w:val="000000"/>
                <w:sz w:val="18"/>
              </w:rPr>
              <w:t>32f0159d34ee012c3fc009f905b9f557cf4767f7eaf1e1de05404ae5792a19da</w:t>
            </w:r>
          </w:p>
        </w:tc>
        <w:tc>
          <w:tcPr>
            <w:tcW w:type="dxa" w:w="4030"/>
            <w:vAlign w:val="top"/>
            <w:tcMar>
              <w:top w:w="80" w:type="dxa"/>
              <w:start w:w="120" w:type="dxa"/>
              <w:bottom w:w="80" w:type="dxa"/>
              <w:end w:w="120" w:type="dxa"/>
            </w:tcMar>
          </w:tcPr>
          <w:p>
            <w:pPr>
              <w:spacing w:after="0" w:line="240" w:lineRule="auto"/>
            </w:pPr>
            <w:r>
              <w:rPr>
                <w:rFonts w:ascii="Calibri" w:hAnsi="Calibri"/>
                <w:color w:val="000000"/>
                <w:sz w:val="18"/>
              </w:rPr>
              <w:t>Bytes unavailable; cannot compare semantically or authorize supersession</w:t>
            </w:r>
          </w:p>
        </w:tc>
      </w:tr>
      <w:tr>
        <w:trPr>
          <w:cantSplit/>
          <w:trHeight w:hRule="atLeast"/>
        </w:trPr>
        <w:tc>
          <w:tcPr>
            <w:tcW w:type="dxa" w:w="1900"/>
            <w:shd w:fill="F2F4F7"/>
            <w:vAlign w:val="top"/>
            <w:tcMar>
              <w:top w:w="80" w:type="dxa"/>
              <w:start w:w="120" w:type="dxa"/>
              <w:bottom w:w="80" w:type="dxa"/>
              <w:end w:w="120" w:type="dxa"/>
            </w:tcMar>
          </w:tcPr>
          <w:p>
            <w:pPr>
              <w:spacing w:after="0" w:line="240" w:lineRule="auto"/>
            </w:pPr>
            <w:r>
              <w:rPr>
                <w:rFonts w:ascii="Calibri" w:hAnsi="Calibri"/>
                <w:color w:val="000000"/>
                <w:sz w:val="18"/>
              </w:rPr>
              <w:t>Imported chat text</w:t>
            </w:r>
          </w:p>
        </w:tc>
        <w:tc>
          <w:tcPr>
            <w:tcW w:type="dxa" w:w="3430"/>
            <w:shd w:fill="F2F4F7"/>
            <w:vAlign w:val="top"/>
            <w:tcMar>
              <w:top w:w="80" w:type="dxa"/>
              <w:start w:w="120" w:type="dxa"/>
              <w:bottom w:w="80" w:type="dxa"/>
              <w:end w:w="120" w:type="dxa"/>
            </w:tcMar>
          </w:tcPr>
          <w:p>
            <w:pPr>
              <w:spacing w:after="0" w:line="240" w:lineRule="auto"/>
            </w:pPr>
            <w:r>
              <w:rPr>
                <w:rFonts w:ascii="Calibri" w:hAnsi="Calibri"/>
                <w:color w:val="000000"/>
                <w:sz w:val="18"/>
              </w:rPr>
              <w:t xml:space="preserve">SHA-256 </w:t>
            </w:r>
            <w:r>
              <w:rPr>
                <w:rFonts w:ascii="Consolas" w:hAnsi="Consolas"/>
                <w:color w:val="000000"/>
                <w:sz w:val="18"/>
              </w:rPr>
              <w:t>489b8c3f1a1cfdd0eecce57018f22359da3453d71c7e9974834f01118a893960</w:t>
            </w:r>
          </w:p>
        </w:tc>
        <w:tc>
          <w:tcPr>
            <w:tcW w:type="dxa" w:w="4030"/>
            <w:shd w:fill="F2F4F7"/>
            <w:vAlign w:val="top"/>
            <w:tcMar>
              <w:top w:w="80" w:type="dxa"/>
              <w:start w:w="120" w:type="dxa"/>
              <w:bottom w:w="80" w:type="dxa"/>
              <w:end w:w="120" w:type="dxa"/>
            </w:tcMar>
          </w:tcPr>
          <w:p>
            <w:pPr>
              <w:spacing w:after="0" w:line="240" w:lineRule="auto"/>
            </w:pPr>
            <w:r>
              <w:rPr>
                <w:rFonts w:ascii="Calibri" w:hAnsi="Calibri"/>
                <w:color w:val="000000"/>
                <w:sz w:val="18"/>
              </w:rPr>
              <w:t>Untrusted lead; raw text is not committed and is not evidence</w:t>
            </w:r>
          </w:p>
        </w:tc>
      </w:tr>
    </w:tbl>
    <w:p>
      <w:r>
        <w:rPr>
          <w:rFonts w:ascii="Calibri" w:hAnsi="Calibri"/>
          <w:color w:val="000000"/>
          <w:sz w:val="22"/>
        </w:rPr>
        <w:t>The attached Ledger is conclusively not the byte-identical artifact pinned by STP v1.1. Similar titles and content do not establish equivalence, supersession, or accepted status.</w:t>
      </w:r>
    </w:p>
    <w:p>
      <w:pPr>
        <w:pStyle w:val="Heading2"/>
      </w:pPr>
      <w:r>
        <w:rPr>
          <w:rFonts w:ascii="Calibri" w:hAnsi="Calibri"/>
          <w:b/>
          <w:color w:val="2E74B5"/>
          <w:sz w:val="26"/>
        </w:rPr>
        <w:t>New-theory sources</w:t>
      </w:r>
    </w:p>
    <w:tbl>
      <w:tblPr>
        <w:tblStyle w:val="TableGrid"/>
        <w:tblW w:type="dxa" w:w="9360"/>
        <w:jc w:val="left"/>
        <w:tblLayout w:type="fixed"/>
        <w:tblLook w:firstColumn="1" w:firstRow="1" w:lastColumn="0" w:lastRow="0" w:noHBand="0" w:noVBand="1" w:val="04A0"/>
        <w:tblInd w:w="120" w:type="dxa"/>
      </w:tblPr>
      <w:tblGrid>
        <w:gridCol w:w="1120"/>
        <w:gridCol w:w="2050"/>
        <w:gridCol w:w="1550"/>
        <w:gridCol w:w="2460"/>
        <w:gridCol w:w="2180"/>
      </w:tblGrid>
      <w:tr>
        <w:trPr>
          <w:trHeight w:hRule="atLeast"/>
          <w:tblHeader w:val="true"/>
          <w:cantSplit/>
        </w:trPr>
        <w:tc>
          <w:tcPr>
            <w:tcW w:type="dxa" w:w="1120"/>
            <w:shd w:fill="E8EEF5"/>
            <w:vAlign w:val="top"/>
            <w:tcMar>
              <w:top w:w="80" w:type="dxa"/>
              <w:start w:w="120" w:type="dxa"/>
              <w:bottom w:w="80" w:type="dxa"/>
              <w:end w:w="120" w:type="dxa"/>
            </w:tcMar>
          </w:tcPr>
          <w:p>
            <w:pPr>
              <w:spacing w:after="0" w:line="240" w:lineRule="auto"/>
            </w:pPr>
            <w:r>
              <w:rPr>
                <w:rFonts w:ascii="Calibri" w:hAnsi="Calibri"/>
                <w:b/>
                <w:color w:val="0B2545"/>
                <w:sz w:val="16"/>
              </w:rPr>
              <w:t>ID</w:t>
            </w:r>
          </w:p>
        </w:tc>
        <w:tc>
          <w:tcPr>
            <w:tcW w:type="dxa" w:w="2050"/>
            <w:shd w:fill="E8EEF5"/>
            <w:vAlign w:val="top"/>
            <w:tcMar>
              <w:top w:w="80" w:type="dxa"/>
              <w:start w:w="120" w:type="dxa"/>
              <w:bottom w:w="80" w:type="dxa"/>
              <w:end w:w="120" w:type="dxa"/>
            </w:tcMar>
          </w:tcPr>
          <w:p>
            <w:pPr>
              <w:spacing w:after="0" w:line="240" w:lineRule="auto"/>
            </w:pPr>
            <w:r>
              <w:rPr>
                <w:rFonts w:ascii="Calibri" w:hAnsi="Calibri"/>
                <w:b/>
                <w:color w:val="0B2545"/>
                <w:sz w:val="16"/>
              </w:rPr>
              <w:t>Primary source</w:t>
            </w:r>
          </w:p>
        </w:tc>
        <w:tc>
          <w:tcPr>
            <w:tcW w:type="dxa" w:w="1550"/>
            <w:shd w:fill="E8EEF5"/>
            <w:vAlign w:val="top"/>
            <w:tcMar>
              <w:top w:w="80" w:type="dxa"/>
              <w:start w:w="120" w:type="dxa"/>
              <w:bottom w:w="80" w:type="dxa"/>
              <w:end w:w="120" w:type="dxa"/>
            </w:tcMar>
          </w:tcPr>
          <w:p>
            <w:pPr>
              <w:spacing w:after="0" w:line="240" w:lineRule="auto"/>
            </w:pPr>
            <w:r>
              <w:rPr>
                <w:rFonts w:ascii="Calibri" w:hAnsi="Calibri"/>
                <w:b/>
                <w:color w:val="0B2545"/>
                <w:sz w:val="16"/>
              </w:rPr>
              <w:t>Verification extent</w:t>
            </w:r>
          </w:p>
        </w:tc>
        <w:tc>
          <w:tcPr>
            <w:tcW w:type="dxa" w:w="2460"/>
            <w:shd w:fill="E8EEF5"/>
            <w:vAlign w:val="top"/>
            <w:tcMar>
              <w:top w:w="80" w:type="dxa"/>
              <w:start w:w="120" w:type="dxa"/>
              <w:bottom w:w="80" w:type="dxa"/>
              <w:end w:w="120" w:type="dxa"/>
            </w:tcMar>
          </w:tcPr>
          <w:p>
            <w:pPr>
              <w:spacing w:after="0" w:line="240" w:lineRule="auto"/>
            </w:pPr>
            <w:r>
              <w:rPr>
                <w:rFonts w:ascii="Calibri" w:hAnsi="Calibri"/>
                <w:b/>
                <w:color w:val="0B2545"/>
                <w:sz w:val="16"/>
              </w:rPr>
              <w:t>Scoped support</w:t>
            </w:r>
          </w:p>
        </w:tc>
        <w:tc>
          <w:tcPr>
            <w:tcW w:type="dxa" w:w="2180"/>
            <w:shd w:fill="E8EEF5"/>
            <w:vAlign w:val="top"/>
            <w:tcMar>
              <w:top w:w="80" w:type="dxa"/>
              <w:start w:w="120" w:type="dxa"/>
              <w:bottom w:w="80" w:type="dxa"/>
              <w:end w:w="120" w:type="dxa"/>
            </w:tcMar>
          </w:tcPr>
          <w:p>
            <w:pPr>
              <w:spacing w:after="0" w:line="240" w:lineRule="auto"/>
            </w:pPr>
            <w:r>
              <w:rPr>
                <w:rFonts w:ascii="Calibri" w:hAnsi="Calibri"/>
                <w:b/>
                <w:color w:val="0B2545"/>
                <w:sz w:val="16"/>
              </w:rPr>
              <w:t>Boundary</w:t>
            </w:r>
          </w:p>
        </w:tc>
      </w:tr>
      <w:tr>
        <w:trPr>
          <w:cantSplit/>
          <w:trHeight w:hRule="atLeast"/>
        </w:trPr>
        <w:tc>
          <w:tcPr>
            <w:tcW w:type="dxa" w:w="1120"/>
            <w:vAlign w:val="top"/>
            <w:tcMar>
              <w:top w:w="80" w:type="dxa"/>
              <w:start w:w="120" w:type="dxa"/>
              <w:bottom w:w="80" w:type="dxa"/>
              <w:end w:w="120" w:type="dxa"/>
            </w:tcMar>
          </w:tcPr>
          <w:p>
            <w:pPr>
              <w:spacing w:after="0" w:line="240" w:lineRule="auto"/>
            </w:pPr>
            <w:r>
              <w:rPr>
                <w:rFonts w:ascii="Calibri" w:hAnsi="Calibri"/>
                <w:color w:val="000000"/>
                <w:sz w:val="16"/>
              </w:rPr>
              <w:t>S01</w:t>
            </w:r>
          </w:p>
        </w:tc>
        <w:tc>
          <w:tcPr>
            <w:tcW w:type="dxa" w:w="2050"/>
            <w:vAlign w:val="top"/>
            <w:tcMar>
              <w:top w:w="80" w:type="dxa"/>
              <w:start w:w="120" w:type="dxa"/>
              <w:bottom w:w="80" w:type="dxa"/>
              <w:end w:w="120" w:type="dxa"/>
            </w:tcMar>
          </w:tcPr>
          <w:p>
            <w:pPr>
              <w:spacing w:after="0" w:line="240" w:lineRule="auto"/>
            </w:pPr>
            <w:hyperlink r:id="rId9">
              <w:r>
                <w:rPr>
                  <w:rFonts w:ascii="Calibri" w:hAnsi="Calibri"/>
                  <w:color w:val="2E74B5"/>
                  <w:u w:val="single"/>
                  <w:sz w:val="17"/>
                </w:rPr>
                <w:t>Lamport, Time, Clocks, and the Ordering of Events in a Distributed System</w:t>
              </w:r>
            </w:hyperlink>
          </w:p>
        </w:tc>
        <w:tc>
          <w:tcPr>
            <w:tcW w:type="dxa" w:w="1550"/>
            <w:vAlign w:val="top"/>
            <w:tcMar>
              <w:top w:w="80" w:type="dxa"/>
              <w:start w:w="120" w:type="dxa"/>
              <w:bottom w:w="80" w:type="dxa"/>
              <w:end w:w="120" w:type="dxa"/>
            </w:tcMar>
          </w:tcPr>
          <w:p>
            <w:pPr>
              <w:spacing w:after="0" w:line="240" w:lineRule="auto"/>
            </w:pPr>
            <w:r>
              <w:rPr>
                <w:rFonts w:ascii="Calibri" w:hAnsi="Calibri"/>
                <w:color w:val="000000"/>
                <w:sz w:val="16"/>
              </w:rPr>
              <w:t>Full text and happened-before definition checked</w:t>
            </w:r>
          </w:p>
        </w:tc>
        <w:tc>
          <w:tcPr>
            <w:tcW w:type="dxa" w:w="2460"/>
            <w:vAlign w:val="top"/>
            <w:tcMar>
              <w:top w:w="80" w:type="dxa"/>
              <w:start w:w="120" w:type="dxa"/>
              <w:bottom w:w="80" w:type="dxa"/>
              <w:end w:w="120" w:type="dxa"/>
            </w:tcMar>
          </w:tcPr>
          <w:p>
            <w:pPr>
              <w:spacing w:after="0" w:line="240" w:lineRule="auto"/>
            </w:pPr>
            <w:r>
              <w:rPr>
                <w:rFonts w:ascii="Calibri" w:hAnsi="Calibri"/>
                <w:color w:val="000000"/>
                <w:sz w:val="16"/>
              </w:rPr>
              <w:t>Causal partial order is distinct from a chosen total serialization</w:t>
            </w:r>
          </w:p>
        </w:tc>
        <w:tc>
          <w:tcPr>
            <w:tcW w:type="dxa" w:w="2180"/>
            <w:vAlign w:val="top"/>
            <w:tcMar>
              <w:top w:w="80" w:type="dxa"/>
              <w:start w:w="120" w:type="dxa"/>
              <w:bottom w:w="80" w:type="dxa"/>
              <w:end w:w="120" w:type="dxa"/>
            </w:tcMar>
          </w:tcPr>
          <w:p>
            <w:pPr>
              <w:spacing w:after="0" w:line="240" w:lineRule="auto"/>
            </w:pPr>
            <w:r>
              <w:rPr>
                <w:rFonts w:ascii="Calibri" w:hAnsi="Calibri"/>
                <w:color w:val="000000"/>
                <w:sz w:val="16"/>
              </w:rPr>
              <w:t>Does not prove semantic correctness, failure detection, or physical time</w:t>
            </w:r>
          </w:p>
        </w:tc>
      </w:tr>
      <w:tr>
        <w:trPr>
          <w:cantSplit/>
          <w:trHeight w:hRule="atLeast"/>
        </w:trPr>
        <w:tc>
          <w:tcPr>
            <w:tcW w:type="dxa" w:w="1120"/>
            <w:shd w:fill="F2F4F7"/>
            <w:vAlign w:val="top"/>
            <w:tcMar>
              <w:top w:w="80" w:type="dxa"/>
              <w:start w:w="120" w:type="dxa"/>
              <w:bottom w:w="80" w:type="dxa"/>
              <w:end w:w="120" w:type="dxa"/>
            </w:tcMar>
          </w:tcPr>
          <w:p>
            <w:pPr>
              <w:spacing w:after="0" w:line="240" w:lineRule="auto"/>
            </w:pPr>
            <w:r>
              <w:rPr>
                <w:rFonts w:ascii="Calibri" w:hAnsi="Calibri"/>
                <w:color w:val="000000"/>
                <w:sz w:val="16"/>
              </w:rPr>
              <w:t>S02</w:t>
            </w:r>
          </w:p>
        </w:tc>
        <w:tc>
          <w:tcPr>
            <w:tcW w:type="dxa" w:w="2050"/>
            <w:shd w:fill="F2F4F7"/>
            <w:vAlign w:val="top"/>
            <w:tcMar>
              <w:top w:w="80" w:type="dxa"/>
              <w:start w:w="120" w:type="dxa"/>
              <w:bottom w:w="80" w:type="dxa"/>
              <w:end w:w="120" w:type="dxa"/>
            </w:tcMar>
          </w:tcPr>
          <w:p>
            <w:pPr>
              <w:spacing w:after="0" w:line="240" w:lineRule="auto"/>
            </w:pPr>
            <w:hyperlink r:id="rId10">
              <w:r>
                <w:rPr>
                  <w:rFonts w:ascii="Calibri" w:hAnsi="Calibri"/>
                  <w:color w:val="2E74B5"/>
                  <w:u w:val="single"/>
                  <w:sz w:val="17"/>
                </w:rPr>
                <w:t>Bailis et al., Coordination Avoidance in Database Systems</w:t>
              </w:r>
            </w:hyperlink>
          </w:p>
        </w:tc>
        <w:tc>
          <w:tcPr>
            <w:tcW w:type="dxa" w:w="1550"/>
            <w:shd w:fill="F2F4F7"/>
            <w:vAlign w:val="top"/>
            <w:tcMar>
              <w:top w:w="80" w:type="dxa"/>
              <w:start w:w="120" w:type="dxa"/>
              <w:bottom w:w="80" w:type="dxa"/>
              <w:end w:w="120" w:type="dxa"/>
            </w:tcMar>
          </w:tcPr>
          <w:p>
            <w:pPr>
              <w:spacing w:after="0" w:line="240" w:lineRule="auto"/>
            </w:pPr>
            <w:r>
              <w:rPr>
                <w:rFonts w:ascii="Calibri" w:hAnsi="Calibri"/>
                <w:color w:val="000000"/>
                <w:sz w:val="16"/>
              </w:rPr>
              <w:t>Bibliographic identity, abstract, and recorded Definition 6 locator checked</w:t>
            </w:r>
          </w:p>
        </w:tc>
        <w:tc>
          <w:tcPr>
            <w:tcW w:type="dxa" w:w="2460"/>
            <w:shd w:fill="F2F4F7"/>
            <w:vAlign w:val="top"/>
            <w:tcMar>
              <w:top w:w="80" w:type="dxa"/>
              <w:start w:w="120" w:type="dxa"/>
              <w:bottom w:w="80" w:type="dxa"/>
              <w:end w:w="120" w:type="dxa"/>
            </w:tcMar>
          </w:tcPr>
          <w:p>
            <w:pPr>
              <w:spacing w:after="0" w:line="240" w:lineRule="auto"/>
            </w:pPr>
            <w:r>
              <w:rPr>
                <w:rFonts w:ascii="Calibri" w:hAnsi="Calibri"/>
                <w:color w:val="000000"/>
                <w:sz w:val="16"/>
              </w:rPr>
              <w:t>Invariant confluence is prior art for deciding when coordination is necessary in the paper's database model</w:t>
            </w:r>
          </w:p>
        </w:tc>
        <w:tc>
          <w:tcPr>
            <w:tcW w:type="dxa" w:w="2180"/>
            <w:shd w:fill="F2F4F7"/>
            <w:vAlign w:val="top"/>
            <w:tcMar>
              <w:top w:w="80" w:type="dxa"/>
              <w:start w:w="120" w:type="dxa"/>
              <w:bottom w:w="80" w:type="dxa"/>
              <w:end w:w="120" w:type="dxa"/>
            </w:tcMar>
          </w:tcPr>
          <w:p>
            <w:pPr>
              <w:spacing w:after="0" w:line="240" w:lineRule="auto"/>
            </w:pPr>
            <w:r>
              <w:rPr>
                <w:rFonts w:ascii="Calibri" w:hAnsi="Calibri"/>
                <w:color w:val="000000"/>
                <w:sz w:val="16"/>
              </w:rPr>
              <w:t>No automatic transfer to agent effects or STP liveness</w:t>
            </w:r>
          </w:p>
        </w:tc>
      </w:tr>
      <w:tr>
        <w:trPr>
          <w:cantSplit/>
          <w:trHeight w:hRule="atLeast"/>
        </w:trPr>
        <w:tc>
          <w:tcPr>
            <w:tcW w:type="dxa" w:w="1120"/>
            <w:vAlign w:val="top"/>
            <w:tcMar>
              <w:top w:w="80" w:type="dxa"/>
              <w:start w:w="120" w:type="dxa"/>
              <w:bottom w:w="80" w:type="dxa"/>
              <w:end w:w="120" w:type="dxa"/>
            </w:tcMar>
          </w:tcPr>
          <w:p>
            <w:pPr>
              <w:spacing w:after="0" w:line="240" w:lineRule="auto"/>
            </w:pPr>
            <w:r>
              <w:rPr>
                <w:rFonts w:ascii="Calibri" w:hAnsi="Calibri"/>
                <w:color w:val="000000"/>
                <w:sz w:val="16"/>
              </w:rPr>
              <w:t>S03</w:t>
            </w:r>
          </w:p>
        </w:tc>
        <w:tc>
          <w:tcPr>
            <w:tcW w:type="dxa" w:w="2050"/>
            <w:vAlign w:val="top"/>
            <w:tcMar>
              <w:top w:w="80" w:type="dxa"/>
              <w:start w:w="120" w:type="dxa"/>
              <w:bottom w:w="80" w:type="dxa"/>
              <w:end w:w="120" w:type="dxa"/>
            </w:tcMar>
          </w:tcPr>
          <w:p>
            <w:pPr>
              <w:spacing w:after="0" w:line="240" w:lineRule="auto"/>
            </w:pPr>
            <w:hyperlink r:id="rId11">
              <w:r>
                <w:rPr>
                  <w:rFonts w:ascii="Calibri" w:hAnsi="Calibri"/>
                  <w:color w:val="2E74B5"/>
                  <w:u w:val="single"/>
                  <w:sz w:val="17"/>
                </w:rPr>
                <w:t>Hellerstein and Alvaro, Keeping CALM</w:t>
              </w:r>
            </w:hyperlink>
          </w:p>
        </w:tc>
        <w:tc>
          <w:tcPr>
            <w:tcW w:type="dxa" w:w="1550"/>
            <w:vAlign w:val="top"/>
            <w:tcMar>
              <w:top w:w="80" w:type="dxa"/>
              <w:start w:w="120" w:type="dxa"/>
              <w:bottom w:w="80" w:type="dxa"/>
              <w:end w:w="120" w:type="dxa"/>
            </w:tcMar>
          </w:tcPr>
          <w:p>
            <w:pPr>
              <w:spacing w:after="0" w:line="240" w:lineRule="auto"/>
            </w:pPr>
            <w:r>
              <w:rPr>
                <w:rFonts w:ascii="Calibri" w:hAnsi="Calibri"/>
                <w:color w:val="000000"/>
                <w:sz w:val="16"/>
              </w:rPr>
              <w:t>Abstract checked</w:t>
            </w:r>
          </w:p>
        </w:tc>
        <w:tc>
          <w:tcPr>
            <w:tcW w:type="dxa" w:w="2460"/>
            <w:vAlign w:val="top"/>
            <w:tcMar>
              <w:top w:w="80" w:type="dxa"/>
              <w:start w:w="120" w:type="dxa"/>
              <w:bottom w:w="80" w:type="dxa"/>
              <w:end w:w="120" w:type="dxa"/>
            </w:tcMar>
          </w:tcPr>
          <w:p>
            <w:pPr>
              <w:spacing w:after="0" w:line="240" w:lineRule="auto"/>
            </w:pPr>
            <w:r>
              <w:rPr>
                <w:rFonts w:ascii="Calibri" w:hAnsi="Calibri"/>
                <w:color w:val="000000"/>
                <w:sz w:val="16"/>
              </w:rPr>
              <w:t>Monotonicity characterizes coordination-free consistency in the paper's model</w:t>
            </w:r>
          </w:p>
        </w:tc>
        <w:tc>
          <w:tcPr>
            <w:tcW w:type="dxa" w:w="2180"/>
            <w:vAlign w:val="top"/>
            <w:tcMar>
              <w:top w:w="80" w:type="dxa"/>
              <w:start w:w="120" w:type="dxa"/>
              <w:bottom w:w="80" w:type="dxa"/>
              <w:end w:w="120" w:type="dxa"/>
            </w:tcMar>
          </w:tcPr>
          <w:p>
            <w:pPr>
              <w:spacing w:after="0" w:line="240" w:lineRule="auto"/>
            </w:pPr>
            <w:r>
              <w:rPr>
                <w:rFonts w:ascii="Calibri" w:hAnsi="Calibri"/>
                <w:color w:val="000000"/>
                <w:sz w:val="16"/>
              </w:rPr>
              <w:t>Append-only storage does not make a non-monotone projection coordination-free</w:t>
            </w:r>
          </w:p>
        </w:tc>
      </w:tr>
      <w:tr>
        <w:trPr>
          <w:cantSplit/>
          <w:trHeight w:hRule="atLeast"/>
        </w:trPr>
        <w:tc>
          <w:tcPr>
            <w:tcW w:type="dxa" w:w="1120"/>
            <w:shd w:fill="F2F4F7"/>
            <w:vAlign w:val="top"/>
            <w:tcMar>
              <w:top w:w="80" w:type="dxa"/>
              <w:start w:w="120" w:type="dxa"/>
              <w:bottom w:w="80" w:type="dxa"/>
              <w:end w:w="120" w:type="dxa"/>
            </w:tcMar>
          </w:tcPr>
          <w:p>
            <w:pPr>
              <w:spacing w:after="0" w:line="240" w:lineRule="auto"/>
            </w:pPr>
            <w:r>
              <w:rPr>
                <w:rFonts w:ascii="Calibri" w:hAnsi="Calibri"/>
                <w:color w:val="000000"/>
                <w:sz w:val="16"/>
              </w:rPr>
              <w:t>S04</w:t>
            </w:r>
          </w:p>
        </w:tc>
        <w:tc>
          <w:tcPr>
            <w:tcW w:type="dxa" w:w="2050"/>
            <w:shd w:fill="F2F4F7"/>
            <w:vAlign w:val="top"/>
            <w:tcMar>
              <w:top w:w="80" w:type="dxa"/>
              <w:start w:w="120" w:type="dxa"/>
              <w:bottom w:w="80" w:type="dxa"/>
              <w:end w:w="120" w:type="dxa"/>
            </w:tcMar>
          </w:tcPr>
          <w:p>
            <w:pPr>
              <w:spacing w:after="0" w:line="240" w:lineRule="auto"/>
            </w:pPr>
            <w:hyperlink r:id="rId12">
              <w:r>
                <w:rPr>
                  <w:rFonts w:ascii="Calibri" w:hAnsi="Calibri"/>
                  <w:color w:val="2E74B5"/>
                  <w:u w:val="single"/>
                  <w:sz w:val="17"/>
                </w:rPr>
                <w:t>Randolph et al., On Consistency of Operational Transformation Approach</w:t>
              </w:r>
            </w:hyperlink>
          </w:p>
        </w:tc>
        <w:tc>
          <w:tcPr>
            <w:tcW w:type="dxa" w:w="1550"/>
            <w:shd w:fill="F2F4F7"/>
            <w:vAlign w:val="top"/>
            <w:tcMar>
              <w:top w:w="80" w:type="dxa"/>
              <w:start w:w="120" w:type="dxa"/>
              <w:bottom w:w="80" w:type="dxa"/>
              <w:end w:w="120" w:type="dxa"/>
            </w:tcMar>
          </w:tcPr>
          <w:p>
            <w:pPr>
              <w:spacing w:after="0" w:line="240" w:lineRule="auto"/>
            </w:pPr>
            <w:r>
              <w:rPr>
                <w:rFonts w:ascii="Calibri" w:hAnsi="Calibri"/>
                <w:color w:val="000000"/>
                <w:sz w:val="16"/>
              </w:rPr>
              <w:t>Bibliographic identity, abstract, and TP2 triplet equation checked</w:t>
            </w:r>
          </w:p>
        </w:tc>
        <w:tc>
          <w:tcPr>
            <w:tcW w:type="dxa" w:w="2460"/>
            <w:shd w:fill="F2F4F7"/>
            <w:vAlign w:val="top"/>
            <w:tcMar>
              <w:top w:w="80" w:type="dxa"/>
              <w:start w:w="120" w:type="dxa"/>
              <w:bottom w:w="80" w:type="dxa"/>
              <w:end w:w="120" w:type="dxa"/>
            </w:tcMar>
          </w:tcPr>
          <w:p>
            <w:pPr>
              <w:spacing w:after="0" w:line="240" w:lineRule="auto"/>
            </w:pPr>
            <w:r>
              <w:rPr>
                <w:rFonts w:ascii="Calibri" w:hAnsi="Calibri"/>
                <w:color w:val="000000"/>
                <w:sz w:val="16"/>
              </w:rPr>
              <w:t>Pair and triplet obligations matter inside a declared transformation model</w:t>
            </w:r>
          </w:p>
        </w:tc>
        <w:tc>
          <w:tcPr>
            <w:tcW w:type="dxa" w:w="2180"/>
            <w:shd w:fill="F2F4F7"/>
            <w:vAlign w:val="top"/>
            <w:tcMar>
              <w:top w:w="80" w:type="dxa"/>
              <w:start w:w="120" w:type="dxa"/>
              <w:bottom w:w="80" w:type="dxa"/>
              <w:end w:w="120" w:type="dxa"/>
            </w:tcMar>
          </w:tcPr>
          <w:p>
            <w:pPr>
              <w:spacing w:after="0" w:line="240" w:lineRule="auto"/>
            </w:pPr>
            <w:r>
              <w:rPr>
                <w:rFonts w:ascii="Calibri" w:hAnsi="Calibri"/>
                <w:color w:val="000000"/>
                <w:sz w:val="16"/>
              </w:rPr>
              <w:t>TP1/TP2 are not universal axioms for arbitrary actions</w:t>
            </w:r>
          </w:p>
        </w:tc>
      </w:tr>
      <w:tr>
        <w:trPr>
          <w:cantSplit/>
          <w:trHeight w:hRule="atLeast"/>
        </w:trPr>
        <w:tc>
          <w:tcPr>
            <w:tcW w:type="dxa" w:w="1120"/>
            <w:vAlign w:val="top"/>
            <w:tcMar>
              <w:top w:w="80" w:type="dxa"/>
              <w:start w:w="120" w:type="dxa"/>
              <w:bottom w:w="80" w:type="dxa"/>
              <w:end w:w="120" w:type="dxa"/>
            </w:tcMar>
          </w:tcPr>
          <w:p>
            <w:pPr>
              <w:spacing w:after="0" w:line="240" w:lineRule="auto"/>
            </w:pPr>
            <w:r>
              <w:rPr>
                <w:rFonts w:ascii="Calibri" w:hAnsi="Calibri"/>
                <w:color w:val="000000"/>
                <w:sz w:val="16"/>
              </w:rPr>
              <w:t>S05</w:t>
            </w:r>
          </w:p>
        </w:tc>
        <w:tc>
          <w:tcPr>
            <w:tcW w:type="dxa" w:w="2050"/>
            <w:vAlign w:val="top"/>
            <w:tcMar>
              <w:top w:w="80" w:type="dxa"/>
              <w:start w:w="120" w:type="dxa"/>
              <w:bottom w:w="80" w:type="dxa"/>
              <w:end w:w="120" w:type="dxa"/>
            </w:tcMar>
          </w:tcPr>
          <w:p>
            <w:pPr>
              <w:spacing w:after="0" w:line="240" w:lineRule="auto"/>
            </w:pPr>
            <w:hyperlink r:id="rId13">
              <w:r>
                <w:rPr>
                  <w:rFonts w:ascii="Calibri" w:hAnsi="Calibri"/>
                  <w:color w:val="2E74B5"/>
                  <w:u w:val="single"/>
                  <w:sz w:val="17"/>
                </w:rPr>
                <w:t>Åström and Murray, Feedback Systems, 2nd ed.</w:t>
              </w:r>
            </w:hyperlink>
          </w:p>
        </w:tc>
        <w:tc>
          <w:tcPr>
            <w:tcW w:type="dxa" w:w="1550"/>
            <w:vAlign w:val="top"/>
            <w:tcMar>
              <w:top w:w="80" w:type="dxa"/>
              <w:start w:w="120" w:type="dxa"/>
              <w:bottom w:w="80" w:type="dxa"/>
              <w:end w:w="120" w:type="dxa"/>
            </w:tcMar>
          </w:tcPr>
          <w:p>
            <w:pPr>
              <w:spacing w:after="0" w:line="240" w:lineRule="auto"/>
            </w:pPr>
            <w:r>
              <w:rPr>
                <w:rFonts w:ascii="Calibri" w:hAnsi="Calibri"/>
                <w:color w:val="000000"/>
                <w:sz w:val="16"/>
              </w:rPr>
              <w:t>Author-maintained contents and chapter map checked</w:t>
            </w:r>
          </w:p>
        </w:tc>
        <w:tc>
          <w:tcPr>
            <w:tcW w:type="dxa" w:w="2460"/>
            <w:vAlign w:val="top"/>
            <w:tcMar>
              <w:top w:w="80" w:type="dxa"/>
              <w:start w:w="120" w:type="dxa"/>
              <w:bottom w:w="80" w:type="dxa"/>
              <w:end w:w="120" w:type="dxa"/>
            </w:tcMar>
          </w:tcPr>
          <w:p>
            <w:pPr>
              <w:spacing w:after="0" w:line="240" w:lineRule="auto"/>
            </w:pPr>
            <w:r>
              <w:rPr>
                <w:rFonts w:ascii="Calibri" w:hAnsi="Calibri"/>
                <w:color w:val="000000"/>
                <w:sz w:val="16"/>
              </w:rPr>
              <w:t>Established vocabulary for state, observation, feedback, stability, uncertainty, and control</w:t>
            </w:r>
          </w:p>
        </w:tc>
        <w:tc>
          <w:tcPr>
            <w:tcW w:type="dxa" w:w="2180"/>
            <w:vAlign w:val="top"/>
            <w:tcMar>
              <w:top w:w="80" w:type="dxa"/>
              <w:start w:w="120" w:type="dxa"/>
              <w:bottom w:w="80" w:type="dxa"/>
              <w:end w:w="120" w:type="dxa"/>
            </w:tcMar>
          </w:tcPr>
          <w:p>
            <w:pPr>
              <w:spacing w:after="0" w:line="240" w:lineRule="auto"/>
            </w:pPr>
            <w:r>
              <w:rPr>
                <w:rFonts w:ascii="Calibri" w:hAnsi="Calibri"/>
                <w:color w:val="000000"/>
                <w:sz w:val="16"/>
              </w:rPr>
              <w:t>Control-system state is not an alias for governance accepted state</w:t>
            </w:r>
          </w:p>
        </w:tc>
      </w:tr>
      <w:tr>
        <w:trPr>
          <w:cantSplit/>
          <w:trHeight w:hRule="atLeast"/>
        </w:trPr>
        <w:tc>
          <w:tcPr>
            <w:tcW w:type="dxa" w:w="1120"/>
            <w:shd w:fill="F2F4F7"/>
            <w:vAlign w:val="top"/>
            <w:tcMar>
              <w:top w:w="80" w:type="dxa"/>
              <w:start w:w="120" w:type="dxa"/>
              <w:bottom w:w="80" w:type="dxa"/>
              <w:end w:w="120" w:type="dxa"/>
            </w:tcMar>
          </w:tcPr>
          <w:p>
            <w:pPr>
              <w:spacing w:after="0" w:line="240" w:lineRule="auto"/>
            </w:pPr>
            <w:r>
              <w:rPr>
                <w:rFonts w:ascii="Calibri" w:hAnsi="Calibri"/>
                <w:color w:val="000000"/>
                <w:sz w:val="16"/>
              </w:rPr>
              <w:t>S06</w:t>
            </w:r>
          </w:p>
        </w:tc>
        <w:tc>
          <w:tcPr>
            <w:tcW w:type="dxa" w:w="2050"/>
            <w:shd w:fill="F2F4F7"/>
            <w:vAlign w:val="top"/>
            <w:tcMar>
              <w:top w:w="80" w:type="dxa"/>
              <w:start w:w="120" w:type="dxa"/>
              <w:bottom w:w="80" w:type="dxa"/>
              <w:end w:w="120" w:type="dxa"/>
            </w:tcMar>
          </w:tcPr>
          <w:p>
            <w:pPr>
              <w:spacing w:after="0" w:line="240" w:lineRule="auto"/>
            </w:pPr>
            <w:hyperlink r:id="rId14">
              <w:r>
                <w:rPr>
                  <w:rFonts w:ascii="Calibri" w:hAnsi="Calibri"/>
                  <w:color w:val="2E74B5"/>
                  <w:u w:val="single"/>
                  <w:sz w:val="17"/>
                </w:rPr>
                <w:t>Sui et al., Stagewise Safe Bayesian Optimization with Gaussian Processes</w:t>
              </w:r>
            </w:hyperlink>
          </w:p>
        </w:tc>
        <w:tc>
          <w:tcPr>
            <w:tcW w:type="dxa" w:w="1550"/>
            <w:shd w:fill="F2F4F7"/>
            <w:vAlign w:val="top"/>
            <w:tcMar>
              <w:top w:w="80" w:type="dxa"/>
              <w:start w:w="120" w:type="dxa"/>
              <w:bottom w:w="80" w:type="dxa"/>
              <w:end w:w="120" w:type="dxa"/>
            </w:tcMar>
          </w:tcPr>
          <w:p>
            <w:pPr>
              <w:spacing w:after="0" w:line="240" w:lineRule="auto"/>
            </w:pPr>
            <w:r>
              <w:rPr>
                <w:rFonts w:ascii="Calibri" w:hAnsi="Calibri"/>
                <w:color w:val="000000"/>
                <w:sz w:val="16"/>
              </w:rPr>
              <w:t>Repository identity and abstract checked</w:t>
            </w:r>
          </w:p>
        </w:tc>
        <w:tc>
          <w:tcPr>
            <w:tcW w:type="dxa" w:w="2460"/>
            <w:shd w:fill="F2F4F7"/>
            <w:vAlign w:val="top"/>
            <w:tcMar>
              <w:top w:w="80" w:type="dxa"/>
              <w:start w:w="120" w:type="dxa"/>
              <w:bottom w:w="80" w:type="dxa"/>
              <w:end w:w="120" w:type="dxa"/>
            </w:tcMar>
          </w:tcPr>
          <w:p>
            <w:pPr>
              <w:spacing w:after="0" w:line="240" w:lineRule="auto"/>
            </w:pPr>
            <w:r>
              <w:rPr>
                <w:rFonts w:ascii="Calibri" w:hAnsi="Calibri"/>
                <w:color w:val="000000"/>
                <w:sz w:val="16"/>
              </w:rPr>
              <w:t>Separating safe-region expansion from utility optimization is relevant design prior art</w:t>
            </w:r>
          </w:p>
        </w:tc>
        <w:tc>
          <w:tcPr>
            <w:tcW w:type="dxa" w:w="2180"/>
            <w:shd w:fill="F2F4F7"/>
            <w:vAlign w:val="top"/>
            <w:tcMar>
              <w:top w:w="80" w:type="dxa"/>
              <w:start w:w="120" w:type="dxa"/>
              <w:bottom w:w="80" w:type="dxa"/>
              <w:end w:w="120" w:type="dxa"/>
            </w:tcMar>
          </w:tcPr>
          <w:p>
            <w:pPr>
              <w:spacing w:after="0" w:line="240" w:lineRule="auto"/>
            </w:pPr>
            <w:r>
              <w:rPr>
                <w:rFonts w:ascii="Calibri" w:hAnsi="Calibri"/>
                <w:color w:val="000000"/>
                <w:sz w:val="16"/>
              </w:rPr>
              <w:t>No theorem transfers without the paper's GP, safety, feedback, and regularity assumptions</w:t>
            </w:r>
          </w:p>
        </w:tc>
      </w:tr>
      <w:tr>
        <w:trPr>
          <w:cantSplit/>
          <w:trHeight w:hRule="atLeast"/>
        </w:trPr>
        <w:tc>
          <w:tcPr>
            <w:tcW w:type="dxa" w:w="1120"/>
            <w:vAlign w:val="top"/>
            <w:tcMar>
              <w:top w:w="80" w:type="dxa"/>
              <w:start w:w="120" w:type="dxa"/>
              <w:bottom w:w="80" w:type="dxa"/>
              <w:end w:w="120" w:type="dxa"/>
            </w:tcMar>
          </w:tcPr>
          <w:p>
            <w:pPr>
              <w:spacing w:after="0" w:line="240" w:lineRule="auto"/>
            </w:pPr>
            <w:r>
              <w:rPr>
                <w:rFonts w:ascii="Calibri" w:hAnsi="Calibri"/>
                <w:color w:val="000000"/>
                <w:sz w:val="16"/>
              </w:rPr>
              <w:t>S07</w:t>
            </w:r>
          </w:p>
        </w:tc>
        <w:tc>
          <w:tcPr>
            <w:tcW w:type="dxa" w:w="2050"/>
            <w:vAlign w:val="top"/>
            <w:tcMar>
              <w:top w:w="80" w:type="dxa"/>
              <w:start w:w="120" w:type="dxa"/>
              <w:bottom w:w="80" w:type="dxa"/>
              <w:end w:w="120" w:type="dxa"/>
            </w:tcMar>
          </w:tcPr>
          <w:p>
            <w:pPr>
              <w:spacing w:after="0" w:line="240" w:lineRule="auto"/>
            </w:pPr>
            <w:hyperlink r:id="rId15">
              <w:r>
                <w:rPr>
                  <w:rFonts w:ascii="Calibri" w:hAnsi="Calibri"/>
                  <w:color w:val="2E74B5"/>
                  <w:u w:val="single"/>
                  <w:sz w:val="17"/>
                </w:rPr>
                <w:t>Slagel et al., A Formal Verification Framework for Runtime Assurance</w:t>
              </w:r>
            </w:hyperlink>
          </w:p>
        </w:tc>
        <w:tc>
          <w:tcPr>
            <w:tcW w:type="dxa" w:w="1550"/>
            <w:vAlign w:val="top"/>
            <w:tcMar>
              <w:top w:w="80" w:type="dxa"/>
              <w:start w:w="120" w:type="dxa"/>
              <w:bottom w:w="80" w:type="dxa"/>
              <w:end w:w="120" w:type="dxa"/>
            </w:tcMar>
          </w:tcPr>
          <w:p>
            <w:pPr>
              <w:spacing w:after="0" w:line="240" w:lineRule="auto"/>
            </w:pPr>
            <w:r>
              <w:rPr>
                <w:rFonts w:ascii="Calibri" w:hAnsi="Calibri"/>
                <w:color w:val="000000"/>
                <w:sz w:val="16"/>
              </w:rPr>
              <w:t>NASA record and abstract checked</w:t>
            </w:r>
          </w:p>
        </w:tc>
        <w:tc>
          <w:tcPr>
            <w:tcW w:type="dxa" w:w="2460"/>
            <w:vAlign w:val="top"/>
            <w:tcMar>
              <w:top w:w="80" w:type="dxa"/>
              <w:start w:w="120" w:type="dxa"/>
              <w:bottom w:w="80" w:type="dxa"/>
              <w:end w:w="120" w:type="dxa"/>
            </w:tcMar>
          </w:tcPr>
          <w:p>
            <w:pPr>
              <w:spacing w:after="0" w:line="240" w:lineRule="auto"/>
            </w:pPr>
            <w:r>
              <w:rPr>
                <w:rFonts w:ascii="Calibri" w:hAnsi="Calibri"/>
                <w:color w:val="000000"/>
                <w:sz w:val="16"/>
              </w:rPr>
              <w:t>A trusted safety mechanism may bound an untrusted component in a formally instantiated Simplex architecture</w:t>
            </w:r>
          </w:p>
        </w:tc>
        <w:tc>
          <w:tcPr>
            <w:tcW w:type="dxa" w:w="2180"/>
            <w:vAlign w:val="top"/>
            <w:tcMar>
              <w:top w:w="80" w:type="dxa"/>
              <w:start w:w="120" w:type="dxa"/>
              <w:bottom w:w="80" w:type="dxa"/>
              <w:end w:w="120" w:type="dxa"/>
            </w:tcMar>
          </w:tcPr>
          <w:p>
            <w:pPr>
              <w:spacing w:after="0" w:line="240" w:lineRule="auto"/>
            </w:pPr>
            <w:r>
              <w:rPr>
                <w:rFonts w:ascii="Calibri" w:hAnsi="Calibri"/>
                <w:color w:val="000000"/>
                <w:sz w:val="16"/>
              </w:rPr>
              <w:t>A notification lamp or receipt alone is not runtime assurance</w:t>
            </w:r>
          </w:p>
        </w:tc>
      </w:tr>
      <w:tr>
        <w:trPr>
          <w:cantSplit/>
          <w:trHeight w:hRule="atLeast"/>
        </w:trPr>
        <w:tc>
          <w:tcPr>
            <w:tcW w:type="dxa" w:w="1120"/>
            <w:shd w:fill="F2F4F7"/>
            <w:vAlign w:val="top"/>
            <w:tcMar>
              <w:top w:w="80" w:type="dxa"/>
              <w:start w:w="120" w:type="dxa"/>
              <w:bottom w:w="80" w:type="dxa"/>
              <w:end w:w="120" w:type="dxa"/>
            </w:tcMar>
          </w:tcPr>
          <w:p>
            <w:pPr>
              <w:spacing w:after="0" w:line="240" w:lineRule="auto"/>
            </w:pPr>
            <w:r>
              <w:rPr>
                <w:rFonts w:ascii="Calibri" w:hAnsi="Calibri"/>
                <w:color w:val="000000"/>
                <w:sz w:val="16"/>
              </w:rPr>
              <w:t>S08</w:t>
            </w:r>
          </w:p>
        </w:tc>
        <w:tc>
          <w:tcPr>
            <w:tcW w:type="dxa" w:w="2050"/>
            <w:shd w:fill="F2F4F7"/>
            <w:vAlign w:val="top"/>
            <w:tcMar>
              <w:top w:w="80" w:type="dxa"/>
              <w:start w:w="120" w:type="dxa"/>
              <w:bottom w:w="80" w:type="dxa"/>
              <w:end w:w="120" w:type="dxa"/>
            </w:tcMar>
          </w:tcPr>
          <w:p>
            <w:pPr>
              <w:spacing w:after="0" w:line="240" w:lineRule="auto"/>
            </w:pPr>
            <w:hyperlink r:id="rId16">
              <w:r>
                <w:rPr>
                  <w:rFonts w:ascii="Calibri" w:hAnsi="Calibri"/>
                  <w:color w:val="2E74B5"/>
                  <w:u w:val="single"/>
                  <w:sz w:val="17"/>
                </w:rPr>
                <w:t>Friedrichs, Függer, and Lenzen, Metastability-Containing Circuits</w:t>
              </w:r>
            </w:hyperlink>
          </w:p>
        </w:tc>
        <w:tc>
          <w:tcPr>
            <w:tcW w:type="dxa" w:w="1550"/>
            <w:shd w:fill="F2F4F7"/>
            <w:vAlign w:val="top"/>
            <w:tcMar>
              <w:top w:w="80" w:type="dxa"/>
              <w:start w:w="120" w:type="dxa"/>
              <w:bottom w:w="80" w:type="dxa"/>
              <w:end w:w="120" w:type="dxa"/>
            </w:tcMar>
          </w:tcPr>
          <w:p>
            <w:pPr>
              <w:spacing w:after="0" w:line="240" w:lineRule="auto"/>
            </w:pPr>
            <w:r>
              <w:rPr>
                <w:rFonts w:ascii="Calibri" w:hAnsi="Calibri"/>
                <w:color w:val="000000"/>
                <w:sz w:val="16"/>
              </w:rPr>
              <w:t>Abstract checked</w:t>
            </w:r>
          </w:p>
        </w:tc>
        <w:tc>
          <w:tcPr>
            <w:tcW w:type="dxa" w:w="2460"/>
            <w:shd w:fill="F2F4F7"/>
            <w:vAlign w:val="top"/>
            <w:tcMar>
              <w:top w:w="80" w:type="dxa"/>
              <w:start w:w="120" w:type="dxa"/>
              <w:bottom w:w="80" w:type="dxa"/>
              <w:end w:w="120" w:type="dxa"/>
            </w:tcMar>
          </w:tcPr>
          <w:p>
            <w:pPr>
              <w:spacing w:after="0" w:line="240" w:lineRule="auto"/>
            </w:pPr>
            <w:r>
              <w:rPr>
                <w:rFonts w:ascii="Calibri" w:hAnsi="Calibri"/>
                <w:color w:val="000000"/>
                <w:sz w:val="16"/>
              </w:rPr>
              <w:t>Bounded uncertainty can be preserved instead of forced into a binary result</w:t>
            </w:r>
          </w:p>
        </w:tc>
        <w:tc>
          <w:tcPr>
            <w:tcW w:type="dxa" w:w="2180"/>
            <w:shd w:fill="F2F4F7"/>
            <w:vAlign w:val="top"/>
            <w:tcMar>
              <w:top w:w="80" w:type="dxa"/>
              <w:start w:w="120" w:type="dxa"/>
              <w:bottom w:w="80" w:type="dxa"/>
              <w:end w:w="120" w:type="dxa"/>
            </w:tcMar>
          </w:tcPr>
          <w:p>
            <w:pPr>
              <w:spacing w:after="0" w:line="240" w:lineRule="auto"/>
            </w:pPr>
            <w:r>
              <w:rPr>
                <w:rFonts w:ascii="Calibri" w:hAnsi="Calibri"/>
                <w:color w:val="000000"/>
                <w:sz w:val="16"/>
              </w:rPr>
              <w:t>Electronic metastability is not STP evidence uncertainty</w:t>
            </w:r>
          </w:p>
        </w:tc>
      </w:tr>
      <w:tr>
        <w:trPr>
          <w:cantSplit/>
          <w:trHeight w:hRule="atLeast"/>
        </w:trPr>
        <w:tc>
          <w:tcPr>
            <w:tcW w:type="dxa" w:w="1120"/>
            <w:vAlign w:val="top"/>
            <w:tcMar>
              <w:top w:w="80" w:type="dxa"/>
              <w:start w:w="120" w:type="dxa"/>
              <w:bottom w:w="80" w:type="dxa"/>
              <w:end w:w="120" w:type="dxa"/>
            </w:tcMar>
          </w:tcPr>
          <w:p>
            <w:pPr>
              <w:spacing w:after="0" w:line="240" w:lineRule="auto"/>
            </w:pPr>
            <w:r>
              <w:rPr>
                <w:rFonts w:ascii="Calibri" w:hAnsi="Calibri"/>
                <w:color w:val="000000"/>
                <w:sz w:val="16"/>
              </w:rPr>
              <w:t>S09</w:t>
            </w:r>
          </w:p>
        </w:tc>
        <w:tc>
          <w:tcPr>
            <w:tcW w:type="dxa" w:w="2050"/>
            <w:vAlign w:val="top"/>
            <w:tcMar>
              <w:top w:w="80" w:type="dxa"/>
              <w:start w:w="120" w:type="dxa"/>
              <w:bottom w:w="80" w:type="dxa"/>
              <w:end w:w="120" w:type="dxa"/>
            </w:tcMar>
          </w:tcPr>
          <w:p>
            <w:pPr>
              <w:spacing w:after="0" w:line="240" w:lineRule="auto"/>
            </w:pPr>
            <w:hyperlink r:id="rId17">
              <w:r>
                <w:rPr>
                  <w:rFonts w:ascii="Calibri" w:hAnsi="Calibri"/>
                  <w:color w:val="2E74B5"/>
                  <w:u w:val="single"/>
                  <w:sz w:val="17"/>
                </w:rPr>
                <w:t>Baez and Pollard, A Compositional Framework for Reaction Networks</w:t>
              </w:r>
            </w:hyperlink>
          </w:p>
        </w:tc>
        <w:tc>
          <w:tcPr>
            <w:tcW w:type="dxa" w:w="1550"/>
            <w:vAlign w:val="top"/>
            <w:tcMar>
              <w:top w:w="80" w:type="dxa"/>
              <w:start w:w="120" w:type="dxa"/>
              <w:bottom w:w="80" w:type="dxa"/>
              <w:end w:w="120" w:type="dxa"/>
            </w:tcMar>
          </w:tcPr>
          <w:p>
            <w:pPr>
              <w:spacing w:after="0" w:line="240" w:lineRule="auto"/>
            </w:pPr>
            <w:r>
              <w:rPr>
                <w:rFonts w:ascii="Calibri" w:hAnsi="Calibri"/>
                <w:color w:val="000000"/>
                <w:sz w:val="16"/>
              </w:rPr>
              <w:t>Abstract checked</w:t>
            </w:r>
          </w:p>
        </w:tc>
        <w:tc>
          <w:tcPr>
            <w:tcW w:type="dxa" w:w="2460"/>
            <w:vAlign w:val="top"/>
            <w:tcMar>
              <w:top w:w="80" w:type="dxa"/>
              <w:start w:w="120" w:type="dxa"/>
              <w:bottom w:w="80" w:type="dxa"/>
              <w:end w:w="120" w:type="dxa"/>
            </w:tcMar>
          </w:tcPr>
          <w:p>
            <w:pPr>
              <w:spacing w:after="0" w:line="240" w:lineRule="auto"/>
            </w:pPr>
            <w:r>
              <w:rPr>
                <w:rFonts w:ascii="Calibri" w:hAnsi="Calibri"/>
                <w:color w:val="000000"/>
                <w:sz w:val="16"/>
              </w:rPr>
              <w:t>Petri-net/resource-flow vocabulary is useful for declared enabling and conservation constraints</w:t>
            </w:r>
          </w:p>
        </w:tc>
        <w:tc>
          <w:tcPr>
            <w:tcW w:type="dxa" w:w="2180"/>
            <w:vAlign w:val="top"/>
            <w:tcMar>
              <w:top w:w="80" w:type="dxa"/>
              <w:start w:w="120" w:type="dxa"/>
              <w:bottom w:w="80" w:type="dxa"/>
              <w:end w:w="120" w:type="dxa"/>
            </w:tcMar>
          </w:tcPr>
          <w:p>
            <w:pPr>
              <w:spacing w:after="0" w:line="240" w:lineRule="auto"/>
            </w:pPr>
            <w:r>
              <w:rPr>
                <w:rFonts w:ascii="Calibri" w:hAnsi="Calibri"/>
                <w:color w:val="000000"/>
                <w:sz w:val="16"/>
              </w:rPr>
              <w:t>An STP delta is not a chemical reaction and inherits no kinetics</w:t>
            </w:r>
          </w:p>
        </w:tc>
      </w:tr>
      <w:tr>
        <w:trPr>
          <w:cantSplit/>
          <w:trHeight w:hRule="atLeast"/>
        </w:trPr>
        <w:tc>
          <w:tcPr>
            <w:tcW w:type="dxa" w:w="1120"/>
            <w:shd w:fill="F2F4F7"/>
            <w:vAlign w:val="top"/>
            <w:tcMar>
              <w:top w:w="80" w:type="dxa"/>
              <w:start w:w="120" w:type="dxa"/>
              <w:bottom w:w="80" w:type="dxa"/>
              <w:end w:w="120" w:type="dxa"/>
            </w:tcMar>
          </w:tcPr>
          <w:p>
            <w:pPr>
              <w:spacing w:after="0" w:line="240" w:lineRule="auto"/>
            </w:pPr>
            <w:r>
              <w:rPr>
                <w:rFonts w:ascii="Calibri" w:hAnsi="Calibri"/>
                <w:color w:val="000000"/>
                <w:sz w:val="16"/>
              </w:rPr>
              <w:t>S10</w:t>
            </w:r>
          </w:p>
        </w:tc>
        <w:tc>
          <w:tcPr>
            <w:tcW w:type="dxa" w:w="2050"/>
            <w:shd w:fill="F2F4F7"/>
            <w:vAlign w:val="top"/>
            <w:tcMar>
              <w:top w:w="80" w:type="dxa"/>
              <w:start w:w="120" w:type="dxa"/>
              <w:bottom w:w="80" w:type="dxa"/>
              <w:end w:w="120" w:type="dxa"/>
            </w:tcMar>
          </w:tcPr>
          <w:p>
            <w:pPr>
              <w:spacing w:after="0" w:line="240" w:lineRule="auto"/>
            </w:pPr>
            <w:hyperlink r:id="rId18">
              <w:r>
                <w:rPr>
                  <w:rFonts w:ascii="Calibri" w:hAnsi="Calibri"/>
                  <w:color w:val="2E74B5"/>
                  <w:u w:val="single"/>
                  <w:sz w:val="17"/>
                </w:rPr>
                <w:t>IBM Quantum, Qiskit 2.3 `CommutationChecker`</w:t>
              </w:r>
            </w:hyperlink>
          </w:p>
        </w:tc>
        <w:tc>
          <w:tcPr>
            <w:tcW w:type="dxa" w:w="1550"/>
            <w:shd w:fill="F2F4F7"/>
            <w:vAlign w:val="top"/>
            <w:tcMar>
              <w:top w:w="80" w:type="dxa"/>
              <w:start w:w="120" w:type="dxa"/>
              <w:bottom w:w="80" w:type="dxa"/>
              <w:end w:w="120" w:type="dxa"/>
            </w:tcMar>
          </w:tcPr>
          <w:p>
            <w:pPr>
              <w:spacing w:after="0" w:line="240" w:lineRule="auto"/>
            </w:pPr>
            <w:r>
              <w:rPr>
                <w:rFonts w:ascii="Calibri" w:hAnsi="Calibri"/>
                <w:color w:val="000000"/>
                <w:sz w:val="16"/>
              </w:rPr>
              <w:t>API contract and equations checked</w:t>
            </w:r>
          </w:p>
        </w:tc>
        <w:tc>
          <w:tcPr>
            <w:tcW w:type="dxa" w:w="2460"/>
            <w:shd w:fill="F2F4F7"/>
            <w:vAlign w:val="top"/>
            <w:tcMar>
              <w:top w:w="80" w:type="dxa"/>
              <w:start w:w="120" w:type="dxa"/>
              <w:bottom w:w="80" w:type="dxa"/>
              <w:end w:w="120" w:type="dxa"/>
            </w:tcMar>
          </w:tcPr>
          <w:p>
            <w:pPr>
              <w:spacing w:after="0" w:line="240" w:lineRule="auto"/>
            </w:pPr>
            <w:r>
              <w:rPr>
                <w:rFonts w:ascii="Calibri" w:hAnsi="Calibri"/>
                <w:color w:val="000000"/>
                <w:sz w:val="16"/>
              </w:rPr>
              <w:t>Commutation is scoped to operations, operands, algorithm, and tolerance; skipped checks do not become proof</w:t>
            </w:r>
          </w:p>
        </w:tc>
        <w:tc>
          <w:tcPr>
            <w:tcW w:type="dxa" w:w="2180"/>
            <w:shd w:fill="F2F4F7"/>
            <w:vAlign w:val="top"/>
            <w:tcMar>
              <w:top w:w="80" w:type="dxa"/>
              <w:start w:w="120" w:type="dxa"/>
              <w:bottom w:w="80" w:type="dxa"/>
              <w:end w:w="120" w:type="dxa"/>
            </w:tcMar>
          </w:tcPr>
          <w:p>
            <w:pPr>
              <w:spacing w:after="0" w:line="240" w:lineRule="auto"/>
            </w:pPr>
            <w:r>
              <w:rPr>
                <w:rFonts w:ascii="Calibri" w:hAnsi="Calibri"/>
                <w:color w:val="000000"/>
                <w:sz w:val="16"/>
              </w:rPr>
              <w:t>Agent actions are not quantum operators</w:t>
            </w:r>
          </w:p>
        </w:tc>
      </w:tr>
      <w:tr>
        <w:trPr>
          <w:cantSplit/>
          <w:trHeight w:hRule="atLeast"/>
        </w:trPr>
        <w:tc>
          <w:tcPr>
            <w:tcW w:type="dxa" w:w="1120"/>
            <w:vAlign w:val="top"/>
            <w:tcMar>
              <w:top w:w="80" w:type="dxa"/>
              <w:start w:w="120" w:type="dxa"/>
              <w:bottom w:w="80" w:type="dxa"/>
              <w:end w:w="120" w:type="dxa"/>
            </w:tcMar>
          </w:tcPr>
          <w:p>
            <w:pPr>
              <w:spacing w:after="0" w:line="240" w:lineRule="auto"/>
            </w:pPr>
            <w:r>
              <w:rPr>
                <w:rFonts w:ascii="Calibri" w:hAnsi="Calibri"/>
                <w:color w:val="000000"/>
                <w:sz w:val="16"/>
              </w:rPr>
              <w:t>S11</w:t>
            </w:r>
          </w:p>
        </w:tc>
        <w:tc>
          <w:tcPr>
            <w:tcW w:type="dxa" w:w="2050"/>
            <w:vAlign w:val="top"/>
            <w:tcMar>
              <w:top w:w="80" w:type="dxa"/>
              <w:start w:w="120" w:type="dxa"/>
              <w:bottom w:w="80" w:type="dxa"/>
              <w:end w:w="120" w:type="dxa"/>
            </w:tcMar>
          </w:tcPr>
          <w:p>
            <w:pPr>
              <w:spacing w:after="0" w:line="240" w:lineRule="auto"/>
            </w:pPr>
            <w:hyperlink r:id="rId19">
              <w:r>
                <w:rPr>
                  <w:rFonts w:ascii="Calibri" w:hAnsi="Calibri"/>
                  <w:color w:val="2E74B5"/>
                  <w:u w:val="single"/>
                  <w:sz w:val="17"/>
                </w:rPr>
                <w:t>Power and Robinson, Premonoidal Categories and Notions of Computation</w:t>
              </w:r>
            </w:hyperlink>
          </w:p>
        </w:tc>
        <w:tc>
          <w:tcPr>
            <w:tcW w:type="dxa" w:w="1550"/>
            <w:vAlign w:val="top"/>
            <w:tcMar>
              <w:top w:w="80" w:type="dxa"/>
              <w:start w:w="120" w:type="dxa"/>
              <w:bottom w:w="80" w:type="dxa"/>
              <w:end w:w="120" w:type="dxa"/>
            </w:tcMar>
          </w:tcPr>
          <w:p>
            <w:pPr>
              <w:spacing w:after="0" w:line="240" w:lineRule="auto"/>
            </w:pPr>
            <w:r>
              <w:rPr>
                <w:rFonts w:ascii="Calibri" w:hAnsi="Calibri"/>
                <w:color w:val="000000"/>
                <w:sz w:val="16"/>
              </w:rPr>
              <w:t>Publisher identity and abstract checked</w:t>
            </w:r>
          </w:p>
        </w:tc>
        <w:tc>
          <w:tcPr>
            <w:tcW w:type="dxa" w:w="2460"/>
            <w:vAlign w:val="top"/>
            <w:tcMar>
              <w:top w:w="80" w:type="dxa"/>
              <w:start w:w="120" w:type="dxa"/>
              <w:bottom w:w="80" w:type="dxa"/>
              <w:end w:w="120" w:type="dxa"/>
            </w:tcMar>
          </w:tcPr>
          <w:p>
            <w:pPr>
              <w:spacing w:after="0" w:line="240" w:lineRule="auto"/>
            </w:pPr>
            <w:r>
              <w:rPr>
                <w:rFonts w:ascii="Calibri" w:hAnsi="Calibri"/>
                <w:color w:val="000000"/>
                <w:sz w:val="16"/>
              </w:rPr>
              <w:t>Effectful computation motivates preserving operation order when shared effects prevent interchange</w:t>
            </w:r>
          </w:p>
        </w:tc>
        <w:tc>
          <w:tcPr>
            <w:tcW w:type="dxa" w:w="2180"/>
            <w:vAlign w:val="top"/>
            <w:tcMar>
              <w:top w:w="80" w:type="dxa"/>
              <w:start w:w="120" w:type="dxa"/>
              <w:bottom w:w="80" w:type="dxa"/>
              <w:end w:w="120" w:type="dxa"/>
            </w:tcMar>
          </w:tcPr>
          <w:p>
            <w:pPr>
              <w:spacing w:after="0" w:line="240" w:lineRule="auto"/>
            </w:pPr>
            <w:r>
              <w:rPr>
                <w:rFonts w:ascii="Calibri" w:hAnsi="Calibri"/>
                <w:color w:val="000000"/>
                <w:sz w:val="16"/>
              </w:rPr>
              <w:t>No categorical STP model or representation theorem is claimed</w:t>
            </w:r>
          </w:p>
        </w:tc>
      </w:tr>
      <w:tr>
        <w:trPr>
          <w:cantSplit/>
          <w:trHeight w:hRule="atLeast"/>
        </w:trPr>
        <w:tc>
          <w:tcPr>
            <w:tcW w:type="dxa" w:w="1120"/>
            <w:shd w:fill="F2F4F7"/>
            <w:vAlign w:val="top"/>
            <w:tcMar>
              <w:top w:w="80" w:type="dxa"/>
              <w:start w:w="120" w:type="dxa"/>
              <w:bottom w:w="80" w:type="dxa"/>
              <w:end w:w="120" w:type="dxa"/>
            </w:tcMar>
          </w:tcPr>
          <w:p>
            <w:pPr>
              <w:spacing w:after="0" w:line="240" w:lineRule="auto"/>
            </w:pPr>
            <w:r>
              <w:rPr>
                <w:rFonts w:ascii="Calibri" w:hAnsi="Calibri"/>
                <w:color w:val="000000"/>
                <w:sz w:val="16"/>
              </w:rPr>
              <w:t>S12</w:t>
            </w:r>
          </w:p>
        </w:tc>
        <w:tc>
          <w:tcPr>
            <w:tcW w:type="dxa" w:w="2050"/>
            <w:shd w:fill="F2F4F7"/>
            <w:vAlign w:val="top"/>
            <w:tcMar>
              <w:top w:w="80" w:type="dxa"/>
              <w:start w:w="120" w:type="dxa"/>
              <w:bottom w:w="80" w:type="dxa"/>
              <w:end w:w="120" w:type="dxa"/>
            </w:tcMar>
          </w:tcPr>
          <w:p>
            <w:pPr>
              <w:spacing w:after="0" w:line="240" w:lineRule="auto"/>
            </w:pPr>
            <w:hyperlink r:id="rId20">
              <w:r>
                <w:rPr>
                  <w:rFonts w:ascii="Calibri" w:hAnsi="Calibri"/>
                  <w:color w:val="2E74B5"/>
                  <w:u w:val="single"/>
                  <w:sz w:val="17"/>
                </w:rPr>
                <w:t>Newman, On Theories with a Combinatorial Definition of Equivalence</w:t>
              </w:r>
            </w:hyperlink>
          </w:p>
        </w:tc>
        <w:tc>
          <w:tcPr>
            <w:tcW w:type="dxa" w:w="1550"/>
            <w:shd w:fill="F2F4F7"/>
            <w:vAlign w:val="top"/>
            <w:tcMar>
              <w:top w:w="80" w:type="dxa"/>
              <w:start w:w="120" w:type="dxa"/>
              <w:bottom w:w="80" w:type="dxa"/>
              <w:end w:w="120" w:type="dxa"/>
            </w:tcMar>
          </w:tcPr>
          <w:p>
            <w:pPr>
              <w:spacing w:after="0" w:line="240" w:lineRule="auto"/>
            </w:pPr>
            <w:r>
              <w:rPr>
                <w:rFonts w:ascii="Calibri" w:hAnsi="Calibri"/>
                <w:color w:val="000000"/>
                <w:sz w:val="16"/>
              </w:rPr>
              <w:t>Original publication identity located; theorem statement cross-checked in modern rewriting literature</w:t>
            </w:r>
          </w:p>
        </w:tc>
        <w:tc>
          <w:tcPr>
            <w:tcW w:type="dxa" w:w="2460"/>
            <w:shd w:fill="F2F4F7"/>
            <w:vAlign w:val="top"/>
            <w:tcMar>
              <w:top w:w="80" w:type="dxa"/>
              <w:start w:w="120" w:type="dxa"/>
              <w:bottom w:w="80" w:type="dxa"/>
              <w:end w:w="120" w:type="dxa"/>
            </w:tcMar>
          </w:tcPr>
          <w:p>
            <w:pPr>
              <w:spacing w:after="0" w:line="240" w:lineRule="auto"/>
            </w:pPr>
            <w:r>
              <w:rPr>
                <w:rFonts w:ascii="Calibri" w:hAnsi="Calibri"/>
                <w:color w:val="000000"/>
                <w:sz w:val="16"/>
              </w:rPr>
              <w:t>Termination plus local confluence can imply confluence for a declared abstract rewriting relation</w:t>
            </w:r>
          </w:p>
        </w:tc>
        <w:tc>
          <w:tcPr>
            <w:tcW w:type="dxa" w:w="2180"/>
            <w:shd w:fill="F2F4F7"/>
            <w:vAlign w:val="top"/>
            <w:tcMar>
              <w:top w:w="80" w:type="dxa"/>
              <w:start w:w="120" w:type="dxa"/>
              <w:bottom w:w="80" w:type="dxa"/>
              <w:end w:w="120" w:type="dxa"/>
            </w:tcMar>
          </w:tcPr>
          <w:p>
            <w:pPr>
              <w:spacing w:after="0" w:line="240" w:lineRule="auto"/>
            </w:pPr>
            <w:r>
              <w:rPr>
                <w:rFonts w:ascii="Calibri" w:hAnsi="Calibri"/>
                <w:color w:val="000000"/>
                <w:sz w:val="16"/>
              </w:rPr>
              <w:t>Original full text was not inspected; finite fixtures do not prove termination or all critical pairs</w:t>
            </w:r>
          </w:p>
        </w:tc>
      </w:tr>
    </w:tbl>
    <w:p>
      <w:pPr>
        <w:pStyle w:val="Heading2"/>
      </w:pPr>
      <w:r>
        <w:rPr>
          <w:rFonts w:ascii="Calibri" w:hAnsi="Calibri"/>
          <w:b/>
          <w:color w:val="2E74B5"/>
          <w:sz w:val="26"/>
        </w:rPr>
        <w:t>Equation verification</w:t>
      </w:r>
    </w:p>
    <w:p>
      <w:r>
        <w:rPr>
          <w:rFonts w:ascii="Calibri" w:hAnsi="Calibri"/>
          <w:color w:val="000000"/>
          <w:sz w:val="22"/>
        </w:rPr>
        <w:t>The imported equations were treated as candidate notation, not cited theorems. The candidate retains the proposal/gate/world/observation separation but adds domains, units, and non-claims. The loose scalar inequality comparing effect throughput with three capacities was not retained as a proof. It is replaced by an exact, unit-bearing, finite-window backlog recurrence in the concurrency profile and executable fixtures.</w:t>
      </w:r>
    </w:p>
    <w:p>
      <w:pPr>
        <w:pStyle w:val="Heading2"/>
      </w:pPr>
      <w:r>
        <w:rPr>
          <w:rFonts w:ascii="Calibri" w:hAnsi="Calibri"/>
          <w:b/>
          <w:color w:val="2E74B5"/>
          <w:sz w:val="26"/>
        </w:rPr>
        <w:t>Scope limits</w:t>
      </w:r>
    </w:p>
    <w:p>
      <w:pPr>
        <w:pStyle w:val="ListBullet"/>
      </w:pPr>
      <w:r>
        <w:rPr>
          <w:rFonts w:ascii="Calibri" w:hAnsi="Calibri"/>
          <w:color w:val="000000"/>
          <w:sz w:val="22"/>
        </w:rPr>
        <w:t>The source register proves what was consulted and to what extent. It does not</w:t>
      </w:r>
    </w:p>
    <w:p>
      <w:r>
        <w:rPr>
          <w:rFonts w:ascii="Calibri" w:hAnsi="Calibri"/>
          <w:color w:val="000000"/>
          <w:sz w:val="22"/>
        </w:rPr>
        <w:t>prove the sources' claims or their applicability to STP.</w:t>
      </w:r>
    </w:p>
    <w:p>
      <w:pPr>
        <w:pStyle w:val="ListBullet"/>
      </w:pPr>
      <w:r>
        <w:rPr>
          <w:rFonts w:ascii="Consolas" w:hAnsi="Consolas"/>
          <w:color w:val="000000"/>
          <w:sz w:val="18"/>
        </w:rPr>
        <w:t>CONTENT_CHECKED</w:t>
      </w:r>
      <w:r>
        <w:rPr>
          <w:rFonts w:ascii="Calibri" w:hAnsi="Calibri"/>
          <w:color w:val="000000"/>
          <w:sz w:val="22"/>
        </w:rPr>
        <w:t xml:space="preserve"> can be scoped to an abstract, section, or API contract. The</w:t>
      </w:r>
    </w:p>
    <w:p>
      <w:r>
        <w:rPr>
          <w:rFonts w:ascii="Calibri" w:hAnsi="Calibri"/>
          <w:color w:val="000000"/>
          <w:sz w:val="22"/>
        </w:rPr>
        <w:t>locator controls the permitted claim.</w:t>
      </w:r>
    </w:p>
    <w:p>
      <w:pPr>
        <w:pStyle w:val="ListBullet"/>
      </w:pPr>
      <w:r>
        <w:rPr>
          <w:rFonts w:ascii="Calibri" w:hAnsi="Calibri"/>
          <w:color w:val="000000"/>
          <w:sz w:val="22"/>
        </w:rPr>
        <w:t>A recent preprint, documentation page, or formal proof remains bounded by its</w:t>
      </w:r>
    </w:p>
    <w:p>
      <w:r>
        <w:rPr>
          <w:rFonts w:ascii="Calibri" w:hAnsi="Calibri"/>
          <w:color w:val="000000"/>
          <w:sz w:val="22"/>
        </w:rPr>
        <w:t>stated model and trusted base.</w:t>
      </w:r>
    </w:p>
    <w:p>
      <w:pPr>
        <w:pStyle w:val="ListBullet"/>
      </w:pPr>
      <w:r>
        <w:rPr>
          <w:rFonts w:ascii="Calibri" w:hAnsi="Calibri"/>
          <w:color w:val="000000"/>
          <w:sz w:val="22"/>
        </w:rPr>
        <w:t>No current official OpenAI document describing a stable Codex hook contract</w:t>
      </w:r>
    </w:p>
    <w:p>
      <w:r>
        <w:rPr>
          <w:rFonts w:ascii="Calibri" w:hAnsi="Calibri"/>
          <w:color w:val="000000"/>
          <w:sz w:val="22"/>
        </w:rPr>
        <w:t>for this health ledger was located. Codex hooks therefore remain optional adapters and cannot be a canonical evidence source in this candidate.</w:t>
      </w:r>
    </w:p>
    <w:p>
      <w:pPr>
        <w:pStyle w:val="Heading1"/>
      </w:pPr>
      <w:r>
        <w:rPr>
          <w:rFonts w:ascii="Calibri" w:hAnsi="Calibri"/>
          <w:b/>
          <w:color w:val="2E74B5"/>
          <w:sz w:val="32"/>
        </w:rPr>
        <w:t>Appendix B. Verification packet</w:t>
      </w:r>
    </w:p>
    <w:tbl>
      <w:tblPr>
        <w:tblStyle w:val="TableGrid"/>
        <w:tblW w:type="dxa" w:w="9360"/>
        <w:jc w:val="left"/>
        <w:tblLayout w:type="fixed"/>
        <w:tblLook w:firstColumn="1" w:firstRow="1" w:lastColumn="0" w:lastRow="0" w:noHBand="0" w:noVBand="1" w:val="04A0"/>
        <w:tblInd w:w="120" w:type="dxa"/>
      </w:tblPr>
      <w:tblGrid>
        <w:gridCol w:w="1550"/>
        <w:gridCol w:w="2350"/>
        <w:gridCol w:w="2740"/>
        <w:gridCol w:w="2720"/>
      </w:tblGrid>
      <w:tr>
        <w:trPr>
          <w:trHeight w:hRule="atLeast"/>
          <w:tblHeader w:val="true"/>
          <w:cantSplit/>
        </w:trPr>
        <w:tc>
          <w:tcPr>
            <w:tcW w:type="dxa" w:w="1550"/>
            <w:shd w:fill="E8EEF5"/>
            <w:vAlign w:val="top"/>
            <w:tcMar>
              <w:top w:w="80" w:type="dxa"/>
              <w:start w:w="120" w:type="dxa"/>
              <w:bottom w:w="80" w:type="dxa"/>
              <w:end w:w="120" w:type="dxa"/>
            </w:tcMar>
          </w:tcPr>
          <w:p>
            <w:pPr>
              <w:spacing w:after="0" w:line="240" w:lineRule="auto"/>
            </w:pPr>
            <w:r>
              <w:rPr>
                <w:rFonts w:ascii="Calibri" w:hAnsi="Calibri"/>
                <w:b/>
                <w:color w:val="0B2545"/>
                <w:sz w:val="16"/>
              </w:rPr>
              <w:t>Lane</w:t>
            </w:r>
          </w:p>
        </w:tc>
        <w:tc>
          <w:tcPr>
            <w:tcW w:type="dxa" w:w="2350"/>
            <w:shd w:fill="E8EEF5"/>
            <w:vAlign w:val="top"/>
            <w:tcMar>
              <w:top w:w="80" w:type="dxa"/>
              <w:start w:w="120" w:type="dxa"/>
              <w:bottom w:w="80" w:type="dxa"/>
              <w:end w:w="120" w:type="dxa"/>
            </w:tcMar>
          </w:tcPr>
          <w:p>
            <w:pPr>
              <w:spacing w:after="0" w:line="240" w:lineRule="auto"/>
            </w:pPr>
            <w:r>
              <w:rPr>
                <w:rFonts w:ascii="Calibri" w:hAnsi="Calibri"/>
                <w:b/>
                <w:color w:val="0B2545"/>
                <w:sz w:val="16"/>
              </w:rPr>
              <w:t>Result</w:t>
            </w:r>
          </w:p>
        </w:tc>
        <w:tc>
          <w:tcPr>
            <w:tcW w:type="dxa" w:w="2740"/>
            <w:shd w:fill="E8EEF5"/>
            <w:vAlign w:val="top"/>
            <w:tcMar>
              <w:top w:w="80" w:type="dxa"/>
              <w:start w:w="120" w:type="dxa"/>
              <w:bottom w:w="80" w:type="dxa"/>
              <w:end w:w="120" w:type="dxa"/>
            </w:tcMar>
          </w:tcPr>
          <w:p>
            <w:pPr>
              <w:spacing w:after="0" w:line="240" w:lineRule="auto"/>
            </w:pPr>
            <w:r>
              <w:rPr>
                <w:rFonts w:ascii="Calibri" w:hAnsi="Calibri"/>
                <w:b/>
                <w:color w:val="0B2545"/>
                <w:sz w:val="16"/>
              </w:rPr>
              <w:t>What it establishes</w:t>
            </w:r>
          </w:p>
        </w:tc>
        <w:tc>
          <w:tcPr>
            <w:tcW w:type="dxa" w:w="2720"/>
            <w:shd w:fill="E8EEF5"/>
            <w:vAlign w:val="top"/>
            <w:tcMar>
              <w:top w:w="80" w:type="dxa"/>
              <w:start w:w="120" w:type="dxa"/>
              <w:bottom w:w="80" w:type="dxa"/>
              <w:end w:w="120" w:type="dxa"/>
            </w:tcMar>
          </w:tcPr>
          <w:p>
            <w:pPr>
              <w:spacing w:after="0" w:line="240" w:lineRule="auto"/>
            </w:pPr>
            <w:r>
              <w:rPr>
                <w:rFonts w:ascii="Calibri" w:hAnsi="Calibri"/>
                <w:b/>
                <w:color w:val="0B2545"/>
                <w:sz w:val="16"/>
              </w:rPr>
              <w:t>What remains outside the claim</w:t>
            </w:r>
          </w:p>
        </w:tc>
      </w:tr>
      <w:tr>
        <w:trPr>
          <w:cantSplit/>
          <w:trHeight w:hRule="atLeast"/>
        </w:trPr>
        <w:tc>
          <w:tcPr>
            <w:tcW w:type="dxa" w:w="1550"/>
            <w:vAlign w:val="top"/>
            <w:tcMar>
              <w:top w:w="80" w:type="dxa"/>
              <w:start w:w="120" w:type="dxa"/>
              <w:bottom w:w="80" w:type="dxa"/>
              <w:end w:w="120" w:type="dxa"/>
            </w:tcMar>
          </w:tcPr>
          <w:p>
            <w:pPr>
              <w:spacing w:after="0" w:line="240" w:lineRule="auto"/>
            </w:pPr>
            <w:r>
              <w:rPr>
                <w:rFonts w:ascii="Calibri" w:hAnsi="Calibri"/>
                <w:color w:val="000000"/>
                <w:sz w:val="16"/>
              </w:rPr>
              <w:t>Source render</w:t>
            </w:r>
          </w:p>
        </w:tc>
        <w:tc>
          <w:tcPr>
            <w:tcW w:type="dxa" w:w="2350"/>
            <w:vAlign w:val="top"/>
            <w:tcMar>
              <w:top w:w="80" w:type="dxa"/>
              <w:start w:w="120" w:type="dxa"/>
              <w:bottom w:w="80" w:type="dxa"/>
              <w:end w:w="120" w:type="dxa"/>
            </w:tcMar>
          </w:tcPr>
          <w:p>
            <w:pPr>
              <w:spacing w:after="0" w:line="240" w:lineRule="auto"/>
            </w:pPr>
            <w:r>
              <w:rPr>
                <w:rFonts w:ascii="Calibri" w:hAnsi="Calibri"/>
                <w:color w:val="000000"/>
                <w:sz w:val="16"/>
              </w:rPr>
              <w:t>PASS</w:t>
            </w:r>
          </w:p>
        </w:tc>
        <w:tc>
          <w:tcPr>
            <w:tcW w:type="dxa" w:w="2740"/>
            <w:vAlign w:val="top"/>
            <w:tcMar>
              <w:top w:w="80" w:type="dxa"/>
              <w:start w:w="120" w:type="dxa"/>
              <w:bottom w:w="80" w:type="dxa"/>
              <w:end w:w="120" w:type="dxa"/>
            </w:tcMar>
          </w:tcPr>
          <w:p>
            <w:pPr>
              <w:spacing w:after="0" w:line="240" w:lineRule="auto"/>
            </w:pPr>
            <w:r>
              <w:rPr>
                <w:rFonts w:ascii="Calibri" w:hAnsi="Calibri"/>
                <w:color w:val="000000"/>
                <w:sz w:val="16"/>
              </w:rPr>
              <w:t>28 STP pages and 22 Ledger pages inspected</w:t>
            </w:r>
          </w:p>
        </w:tc>
        <w:tc>
          <w:tcPr>
            <w:tcW w:type="dxa" w:w="2720"/>
            <w:vAlign w:val="top"/>
            <w:tcMar>
              <w:top w:w="80" w:type="dxa"/>
              <w:start w:w="120" w:type="dxa"/>
              <w:bottom w:w="80" w:type="dxa"/>
              <w:end w:w="120" w:type="dxa"/>
            </w:tcMar>
          </w:tcPr>
          <w:p>
            <w:pPr>
              <w:spacing w:after="0" w:line="240" w:lineRule="auto"/>
            </w:pPr>
            <w:r>
              <w:rPr>
                <w:rFonts w:ascii="Calibri" w:hAnsi="Calibri"/>
                <w:color w:val="000000"/>
                <w:sz w:val="16"/>
              </w:rPr>
              <w:t>Source truth and Ledger equivalence</w:t>
            </w:r>
          </w:p>
        </w:tc>
      </w:tr>
      <w:tr>
        <w:trPr>
          <w:cantSplit/>
          <w:trHeight w:hRule="atLeast"/>
        </w:trPr>
        <w:tc>
          <w:tcPr>
            <w:tcW w:type="dxa" w:w="1550"/>
            <w:shd w:fill="F2F4F7"/>
            <w:vAlign w:val="top"/>
            <w:tcMar>
              <w:top w:w="80" w:type="dxa"/>
              <w:start w:w="120" w:type="dxa"/>
              <w:bottom w:w="80" w:type="dxa"/>
              <w:end w:w="120" w:type="dxa"/>
            </w:tcMar>
          </w:tcPr>
          <w:p>
            <w:pPr>
              <w:spacing w:after="0" w:line="240" w:lineRule="auto"/>
            </w:pPr>
            <w:r>
              <w:rPr>
                <w:rFonts w:ascii="Calibri" w:hAnsi="Calibri"/>
                <w:color w:val="000000"/>
                <w:sz w:val="16"/>
              </w:rPr>
              <w:t>Dual reducer</w:t>
            </w:r>
          </w:p>
        </w:tc>
        <w:tc>
          <w:tcPr>
            <w:tcW w:type="dxa" w:w="2350"/>
            <w:shd w:fill="F2F4F7"/>
            <w:vAlign w:val="top"/>
            <w:tcMar>
              <w:top w:w="80" w:type="dxa"/>
              <w:start w:w="120" w:type="dxa"/>
              <w:bottom w:w="80" w:type="dxa"/>
              <w:end w:w="120" w:type="dxa"/>
            </w:tcMar>
          </w:tcPr>
          <w:p>
            <w:pPr>
              <w:spacing w:after="0" w:line="240" w:lineRule="auto"/>
            </w:pPr>
            <w:r>
              <w:rPr>
                <w:rFonts w:ascii="Calibri" w:hAnsi="Calibri"/>
                <w:color w:val="000000"/>
                <w:sz w:val="16"/>
              </w:rPr>
              <w:t>PASS</w:t>
            </w:r>
          </w:p>
        </w:tc>
        <w:tc>
          <w:tcPr>
            <w:tcW w:type="dxa" w:w="2740"/>
            <w:shd w:fill="F2F4F7"/>
            <w:vAlign w:val="top"/>
            <w:tcMar>
              <w:top w:w="80" w:type="dxa"/>
              <w:start w:w="120" w:type="dxa"/>
              <w:bottom w:w="80" w:type="dxa"/>
              <w:end w:w="120" w:type="dxa"/>
            </w:tcMar>
          </w:tcPr>
          <w:p>
            <w:pPr>
              <w:spacing w:after="0" w:line="240" w:lineRule="auto"/>
            </w:pPr>
            <w:r>
              <w:rPr>
                <w:rFonts w:ascii="Calibri" w:hAnsi="Calibri"/>
                <w:color w:val="000000"/>
                <w:sz w:val="16"/>
              </w:rPr>
              <w:t>JavaScript/Python agreement on all synthetic cases</w:t>
            </w:r>
          </w:p>
        </w:tc>
        <w:tc>
          <w:tcPr>
            <w:tcW w:type="dxa" w:w="2720"/>
            <w:shd w:fill="F2F4F7"/>
            <w:vAlign w:val="top"/>
            <w:tcMar>
              <w:top w:w="80" w:type="dxa"/>
              <w:start w:w="120" w:type="dxa"/>
              <w:bottom w:w="80" w:type="dxa"/>
              <w:end w:w="120" w:type="dxa"/>
            </w:tcMar>
          </w:tcPr>
          <w:p>
            <w:pPr>
              <w:spacing w:after="0" w:line="240" w:lineRule="auto"/>
            </w:pPr>
            <w:r>
              <w:rPr>
                <w:rFonts w:ascii="Calibri" w:hAnsi="Calibri"/>
                <w:color w:val="000000"/>
                <w:sz w:val="16"/>
              </w:rPr>
              <w:t>Global confluence and live effects</w:t>
            </w:r>
          </w:p>
        </w:tc>
      </w:tr>
      <w:tr>
        <w:trPr>
          <w:cantSplit/>
          <w:trHeight w:hRule="atLeast"/>
        </w:trPr>
        <w:tc>
          <w:tcPr>
            <w:tcW w:type="dxa" w:w="1550"/>
            <w:vAlign w:val="top"/>
            <w:tcMar>
              <w:top w:w="80" w:type="dxa"/>
              <w:start w:w="120" w:type="dxa"/>
              <w:bottom w:w="80" w:type="dxa"/>
              <w:end w:w="120" w:type="dxa"/>
            </w:tcMar>
          </w:tcPr>
          <w:p>
            <w:pPr>
              <w:spacing w:after="0" w:line="240" w:lineRule="auto"/>
            </w:pPr>
            <w:r>
              <w:rPr>
                <w:rFonts w:ascii="Calibri" w:hAnsi="Calibri"/>
                <w:color w:val="000000"/>
                <w:sz w:val="16"/>
              </w:rPr>
              <w:t>Triple schedule</w:t>
            </w:r>
          </w:p>
        </w:tc>
        <w:tc>
          <w:tcPr>
            <w:tcW w:type="dxa" w:w="2350"/>
            <w:vAlign w:val="top"/>
            <w:tcMar>
              <w:top w:w="80" w:type="dxa"/>
              <w:start w:w="120" w:type="dxa"/>
              <w:bottom w:w="80" w:type="dxa"/>
              <w:end w:w="120" w:type="dxa"/>
            </w:tcMar>
          </w:tcPr>
          <w:p>
            <w:pPr>
              <w:spacing w:after="0" w:line="240" w:lineRule="auto"/>
            </w:pPr>
            <w:r>
              <w:rPr>
                <w:rFonts w:ascii="Calibri" w:hAnsi="Calibri"/>
                <w:color w:val="000000"/>
                <w:sz w:val="16"/>
              </w:rPr>
              <w:t>PASS</w:t>
            </w:r>
          </w:p>
        </w:tc>
        <w:tc>
          <w:tcPr>
            <w:tcW w:type="dxa" w:w="2740"/>
            <w:vAlign w:val="top"/>
            <w:tcMar>
              <w:top w:w="80" w:type="dxa"/>
              <w:start w:w="120" w:type="dxa"/>
              <w:bottom w:w="80" w:type="dxa"/>
              <w:end w:w="120" w:type="dxa"/>
            </w:tcMar>
          </w:tcPr>
          <w:p>
            <w:pPr>
              <w:spacing w:after="0" w:line="240" w:lineRule="auto"/>
            </w:pPr>
            <w:r>
              <w:rPr>
                <w:rFonts w:ascii="Calibri" w:hAnsi="Calibri"/>
                <w:color w:val="000000"/>
                <w:sz w:val="16"/>
              </w:rPr>
              <w:t>All 6 schedules enumerated for the budget counterexample</w:t>
            </w:r>
          </w:p>
        </w:tc>
        <w:tc>
          <w:tcPr>
            <w:tcW w:type="dxa" w:w="2720"/>
            <w:vAlign w:val="top"/>
            <w:tcMar>
              <w:top w:w="80" w:type="dxa"/>
              <w:start w:w="120" w:type="dxa"/>
              <w:bottom w:w="80" w:type="dxa"/>
              <w:end w:w="120" w:type="dxa"/>
            </w:tcMar>
          </w:tcPr>
          <w:p>
            <w:pPr>
              <w:spacing w:after="0" w:line="240" w:lineRule="auto"/>
            </w:pPr>
            <w:r>
              <w:rPr>
                <w:rFonts w:ascii="Calibri" w:hAnsi="Calibri"/>
                <w:color w:val="000000"/>
                <w:sz w:val="16"/>
              </w:rPr>
              <w:t>All possible delta families</w:t>
            </w:r>
          </w:p>
        </w:tc>
      </w:tr>
      <w:tr>
        <w:trPr>
          <w:cantSplit/>
          <w:trHeight w:hRule="atLeast"/>
        </w:trPr>
        <w:tc>
          <w:tcPr>
            <w:tcW w:type="dxa" w:w="1550"/>
            <w:shd w:fill="F2F4F7"/>
            <w:vAlign w:val="top"/>
            <w:tcMar>
              <w:top w:w="80" w:type="dxa"/>
              <w:start w:w="120" w:type="dxa"/>
              <w:bottom w:w="80" w:type="dxa"/>
              <w:end w:w="120" w:type="dxa"/>
            </w:tcMar>
          </w:tcPr>
          <w:p>
            <w:pPr>
              <w:spacing w:after="0" w:line="240" w:lineRule="auto"/>
            </w:pPr>
            <w:r>
              <w:rPr>
                <w:rFonts w:ascii="Calibri" w:hAnsi="Calibri"/>
                <w:color w:val="000000"/>
                <w:sz w:val="16"/>
              </w:rPr>
              <w:t>Effect finality</w:t>
            </w:r>
          </w:p>
        </w:tc>
        <w:tc>
          <w:tcPr>
            <w:tcW w:type="dxa" w:w="2350"/>
            <w:shd w:fill="F2F4F7"/>
            <w:vAlign w:val="top"/>
            <w:tcMar>
              <w:top w:w="80" w:type="dxa"/>
              <w:start w:w="120" w:type="dxa"/>
              <w:bottom w:w="80" w:type="dxa"/>
              <w:end w:w="120" w:type="dxa"/>
            </w:tcMar>
          </w:tcPr>
          <w:p>
            <w:pPr>
              <w:spacing w:after="0" w:line="240" w:lineRule="auto"/>
            </w:pPr>
            <w:r>
              <w:rPr>
                <w:rFonts w:ascii="Calibri" w:hAnsi="Calibri"/>
                <w:color w:val="000000"/>
                <w:sz w:val="16"/>
              </w:rPr>
              <w:t>PASS</w:t>
            </w:r>
          </w:p>
        </w:tc>
        <w:tc>
          <w:tcPr>
            <w:tcW w:type="dxa" w:w="2740"/>
            <w:shd w:fill="F2F4F7"/>
            <w:vAlign w:val="top"/>
            <w:tcMar>
              <w:top w:w="80" w:type="dxa"/>
              <w:start w:w="120" w:type="dxa"/>
              <w:bottom w:w="80" w:type="dxa"/>
              <w:end w:w="120" w:type="dxa"/>
            </w:tcMar>
          </w:tcPr>
          <w:p>
            <w:pPr>
              <w:spacing w:after="0" w:line="240" w:lineRule="auto"/>
            </w:pPr>
            <w:r>
              <w:rPr>
                <w:rFonts w:ascii="Calibri" w:hAnsi="Calibri"/>
                <w:color w:val="000000"/>
                <w:sz w:val="16"/>
              </w:rPr>
              <w:t>Typed outcomes for timeout, duplicate, stale, conflict, revocation</w:t>
            </w:r>
          </w:p>
        </w:tc>
        <w:tc>
          <w:tcPr>
            <w:tcW w:type="dxa" w:w="2720"/>
            <w:shd w:fill="F2F4F7"/>
            <w:vAlign w:val="top"/>
            <w:tcMar>
              <w:top w:w="80" w:type="dxa"/>
              <w:start w:w="120" w:type="dxa"/>
              <w:bottom w:w="80" w:type="dxa"/>
              <w:end w:w="120" w:type="dxa"/>
            </w:tcMar>
          </w:tcPr>
          <w:p>
            <w:pPr>
              <w:spacing w:after="0" w:line="240" w:lineRule="auto"/>
            </w:pPr>
            <w:r>
              <w:rPr>
                <w:rFonts w:ascii="Calibri" w:hAnsi="Calibri"/>
                <w:color w:val="000000"/>
                <w:sz w:val="16"/>
              </w:rPr>
              <w:t>Provider-side execution truth</w:t>
            </w:r>
          </w:p>
        </w:tc>
      </w:tr>
      <w:tr>
        <w:trPr>
          <w:cantSplit/>
          <w:trHeight w:hRule="atLeast"/>
        </w:trPr>
        <w:tc>
          <w:tcPr>
            <w:tcW w:type="dxa" w:w="1550"/>
            <w:vAlign w:val="top"/>
            <w:tcMar>
              <w:top w:w="80" w:type="dxa"/>
              <w:start w:w="120" w:type="dxa"/>
              <w:bottom w:w="80" w:type="dxa"/>
              <w:end w:w="120" w:type="dxa"/>
            </w:tcMar>
          </w:tcPr>
          <w:p>
            <w:pPr>
              <w:spacing w:after="0" w:line="240" w:lineRule="auto"/>
            </w:pPr>
            <w:r>
              <w:rPr>
                <w:rFonts w:ascii="Calibri" w:hAnsi="Calibri"/>
                <w:color w:val="000000"/>
                <w:sz w:val="16"/>
              </w:rPr>
              <w:t>Capacity math</w:t>
            </w:r>
          </w:p>
        </w:tc>
        <w:tc>
          <w:tcPr>
            <w:tcW w:type="dxa" w:w="2350"/>
            <w:vAlign w:val="top"/>
            <w:tcMar>
              <w:top w:w="80" w:type="dxa"/>
              <w:start w:w="120" w:type="dxa"/>
              <w:bottom w:w="80" w:type="dxa"/>
              <w:end w:w="120" w:type="dxa"/>
            </w:tcMar>
          </w:tcPr>
          <w:p>
            <w:pPr>
              <w:spacing w:after="0" w:line="240" w:lineRule="auto"/>
            </w:pPr>
            <w:r>
              <w:rPr>
                <w:rFonts w:ascii="Calibri" w:hAnsi="Calibri"/>
                <w:color w:val="000000"/>
                <w:sz w:val="16"/>
              </w:rPr>
              <w:t>PASS</w:t>
            </w:r>
          </w:p>
        </w:tc>
        <w:tc>
          <w:tcPr>
            <w:tcW w:type="dxa" w:w="2740"/>
            <w:vAlign w:val="top"/>
            <w:tcMar>
              <w:top w:w="80" w:type="dxa"/>
              <w:start w:w="120" w:type="dxa"/>
              <w:bottom w:w="80" w:type="dxa"/>
              <w:end w:w="120" w:type="dxa"/>
            </w:tcMar>
          </w:tcPr>
          <w:p>
            <w:pPr>
              <w:spacing w:after="0" w:line="240" w:lineRule="auto"/>
            </w:pPr>
            <w:r>
              <w:rPr>
                <w:rFonts w:ascii="Calibri" w:hAnsi="Calibri"/>
                <w:color w:val="000000"/>
                <w:sz w:val="16"/>
              </w:rPr>
              <w:t>Exact recurrence and lane buffers reproduced</w:t>
            </w:r>
          </w:p>
        </w:tc>
        <w:tc>
          <w:tcPr>
            <w:tcW w:type="dxa" w:w="2720"/>
            <w:vAlign w:val="top"/>
            <w:tcMar>
              <w:top w:w="80" w:type="dxa"/>
              <w:start w:w="120" w:type="dxa"/>
              <w:bottom w:w="80" w:type="dxa"/>
              <w:end w:w="120" w:type="dxa"/>
            </w:tcMar>
          </w:tcPr>
          <w:p>
            <w:pPr>
              <w:spacing w:after="0" w:line="240" w:lineRule="auto"/>
            </w:pPr>
            <w:r>
              <w:rPr>
                <w:rFonts w:ascii="Calibri" w:hAnsi="Calibri"/>
                <w:color w:val="000000"/>
                <w:sz w:val="16"/>
              </w:rPr>
              <w:t>Stationarity or future workload forecasts</w:t>
            </w:r>
          </w:p>
        </w:tc>
      </w:tr>
      <w:tr>
        <w:trPr>
          <w:cantSplit/>
          <w:trHeight w:hRule="atLeast"/>
        </w:trPr>
        <w:tc>
          <w:tcPr>
            <w:tcW w:type="dxa" w:w="1550"/>
            <w:shd w:fill="F2F4F7"/>
            <w:vAlign w:val="top"/>
            <w:tcMar>
              <w:top w:w="80" w:type="dxa"/>
              <w:start w:w="120" w:type="dxa"/>
              <w:bottom w:w="80" w:type="dxa"/>
              <w:end w:w="120" w:type="dxa"/>
            </w:tcMar>
          </w:tcPr>
          <w:p>
            <w:pPr>
              <w:spacing w:after="0" w:line="240" w:lineRule="auto"/>
            </w:pPr>
            <w:r>
              <w:rPr>
                <w:rFonts w:ascii="Calibri" w:hAnsi="Calibri"/>
                <w:color w:val="000000"/>
                <w:sz w:val="16"/>
              </w:rPr>
              <w:t>Termination</w:t>
            </w:r>
          </w:p>
        </w:tc>
        <w:tc>
          <w:tcPr>
            <w:tcW w:type="dxa" w:w="2350"/>
            <w:shd w:fill="F2F4F7"/>
            <w:vAlign w:val="top"/>
            <w:tcMar>
              <w:top w:w="80" w:type="dxa"/>
              <w:start w:w="120" w:type="dxa"/>
              <w:bottom w:w="80" w:type="dxa"/>
              <w:end w:w="120" w:type="dxa"/>
            </w:tcMar>
          </w:tcPr>
          <w:p>
            <w:pPr>
              <w:spacing w:after="0" w:line="240" w:lineRule="auto"/>
            </w:pPr>
            <w:r>
              <w:rPr>
                <w:rFonts w:ascii="Calibri" w:hAnsi="Calibri"/>
                <w:color w:val="000000"/>
                <w:sz w:val="16"/>
              </w:rPr>
              <w:t>UNKNOWN</w:t>
            </w:r>
          </w:p>
        </w:tc>
        <w:tc>
          <w:tcPr>
            <w:tcW w:type="dxa" w:w="2740"/>
            <w:shd w:fill="F2F4F7"/>
            <w:vAlign w:val="top"/>
            <w:tcMar>
              <w:top w:w="80" w:type="dxa"/>
              <w:start w:w="120" w:type="dxa"/>
              <w:bottom w:w="80" w:type="dxa"/>
              <w:end w:w="120" w:type="dxa"/>
            </w:tcMar>
          </w:tcPr>
          <w:p>
            <w:pPr>
              <w:spacing w:after="0" w:line="240" w:lineRule="auto"/>
            </w:pPr>
            <w:r>
              <w:rPr>
                <w:rFonts w:ascii="Calibri" w:hAnsi="Calibri"/>
                <w:color w:val="000000"/>
                <w:sz w:val="16"/>
              </w:rPr>
              <w:t>Missing proof remains explicit</w:t>
            </w:r>
          </w:p>
        </w:tc>
        <w:tc>
          <w:tcPr>
            <w:tcW w:type="dxa" w:w="2720"/>
            <w:shd w:fill="F2F4F7"/>
            <w:vAlign w:val="top"/>
            <w:tcMar>
              <w:top w:w="80" w:type="dxa"/>
              <w:start w:w="120" w:type="dxa"/>
              <w:bottom w:w="80" w:type="dxa"/>
              <w:end w:w="120" w:type="dxa"/>
            </w:tcMar>
          </w:tcPr>
          <w:p>
            <w:pPr>
              <w:spacing w:after="0" w:line="240" w:lineRule="auto"/>
            </w:pPr>
            <w:r>
              <w:rPr>
                <w:rFonts w:ascii="Calibri" w:hAnsi="Calibri"/>
                <w:color w:val="000000"/>
                <w:sz w:val="16"/>
              </w:rPr>
              <w:t>Global termination and fairness</w:t>
            </w:r>
          </w:p>
        </w:tc>
      </w:tr>
      <w:tr>
        <w:trPr>
          <w:cantSplit/>
          <w:trHeight w:hRule="atLeast"/>
        </w:trPr>
        <w:tc>
          <w:tcPr>
            <w:tcW w:type="dxa" w:w="1550"/>
            <w:vAlign w:val="top"/>
            <w:tcMar>
              <w:top w:w="80" w:type="dxa"/>
              <w:start w:w="120" w:type="dxa"/>
              <w:bottom w:w="80" w:type="dxa"/>
              <w:end w:w="120" w:type="dxa"/>
            </w:tcMar>
          </w:tcPr>
          <w:p>
            <w:pPr>
              <w:spacing w:after="0" w:line="240" w:lineRule="auto"/>
            </w:pPr>
            <w:r>
              <w:rPr>
                <w:rFonts w:ascii="Calibri" w:hAnsi="Calibri"/>
                <w:color w:val="000000"/>
                <w:sz w:val="16"/>
              </w:rPr>
              <w:t>Ledger identity</w:t>
            </w:r>
          </w:p>
        </w:tc>
        <w:tc>
          <w:tcPr>
            <w:tcW w:type="dxa" w:w="2350"/>
            <w:vAlign w:val="top"/>
            <w:tcMar>
              <w:top w:w="80" w:type="dxa"/>
              <w:start w:w="120" w:type="dxa"/>
              <w:bottom w:w="80" w:type="dxa"/>
              <w:end w:w="120" w:type="dxa"/>
            </w:tcMar>
          </w:tcPr>
          <w:p>
            <w:pPr>
              <w:spacing w:after="0" w:line="240" w:lineRule="auto"/>
            </w:pPr>
            <w:r>
              <w:rPr>
                <w:rFonts w:ascii="Calibri" w:hAnsi="Calibri"/>
                <w:color w:val="000000"/>
                <w:sz w:val="16"/>
              </w:rPr>
              <w:t>BLOCKING</w:t>
            </w:r>
          </w:p>
        </w:tc>
        <w:tc>
          <w:tcPr>
            <w:tcW w:type="dxa" w:w="2740"/>
            <w:vAlign w:val="top"/>
            <w:tcMar>
              <w:top w:w="80" w:type="dxa"/>
              <w:start w:w="120" w:type="dxa"/>
              <w:bottom w:w="80" w:type="dxa"/>
              <w:end w:w="120" w:type="dxa"/>
            </w:tcMar>
          </w:tcPr>
          <w:p>
            <w:pPr>
              <w:spacing w:after="0" w:line="240" w:lineRule="auto"/>
            </w:pPr>
            <w:r>
              <w:rPr>
                <w:rFonts w:ascii="Calibri" w:hAnsi="Calibri"/>
                <w:color w:val="000000"/>
                <w:sz w:val="16"/>
              </w:rPr>
              <w:t>Digest mismatch is preserved</w:t>
            </w:r>
          </w:p>
        </w:tc>
        <w:tc>
          <w:tcPr>
            <w:tcW w:type="dxa" w:w="2720"/>
            <w:vAlign w:val="top"/>
            <w:tcMar>
              <w:top w:w="80" w:type="dxa"/>
              <w:start w:w="120" w:type="dxa"/>
              <w:bottom w:w="80" w:type="dxa"/>
              <w:end w:w="120" w:type="dxa"/>
            </w:tcMar>
          </w:tcPr>
          <w:p>
            <w:pPr>
              <w:spacing w:after="0" w:line="240" w:lineRule="auto"/>
            </w:pPr>
            <w:r>
              <w:rPr>
                <w:rFonts w:ascii="Calibri" w:hAnsi="Calibri"/>
                <w:color w:val="000000"/>
                <w:sz w:val="16"/>
              </w:rPr>
              <w:t>Semantic equivalence or supersession</w:t>
            </w:r>
          </w:p>
        </w:tc>
      </w:tr>
    </w:tbl>
    <w:sectPr>
      <w:headerReference w:type="default" r:id="rId21"/>
      <w:footerReference w:type="default" r:id="rId2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Calibri" w:hAnsi="Calibri"/>
        <w:color w:val="5A6773"/>
        <w:sz w:val="16"/>
      </w:rPr>
      <w:t xml:space="preserve">State Transition Protocol v1.2 Candidate  |  Page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A6773"/>
        <w:sz w:val="16"/>
      </w:rPr>
      <w:t>STATE TRANSITION PROTOCOL v1.2 CANDIDATE   |   PROPOSED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300" w:lineRule="auto"/>
      <w:ind w:left="540" w:hanging="271"/>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 Block"/>
    <w:pPr>
      <w:spacing w:before="80" w:after="120" w:line="240" w:lineRule="auto"/>
      <w:ind w:left="259" w:right="115"/>
    </w:pPr>
    <w:rPr>
      <w:rFonts w:ascii="Consolas" w:hAnsi="Consolas"/>
      <w:sz w:val="18"/>
    </w:rPr>
  </w:style>
  <w:style w:type="paragraph" w:customStyle="1" w:styleId="TableCitation">
    <w:name w:val="Table Citation"/>
    <w:pPr>
      <w:spacing w:before="80" w:after="80"/>
    </w:pPr>
    <w:rPr>
      <w:rFonts w:ascii="Calibri" w:hAnsi="Calibri"/>
      <w:color w:val="5A677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microsoft.com/en-us/research/wp-content/uploads/2016/12/Time-Clocks-and-the-Ordering-of-Events-in-a-Distributed-System.pdf" TargetMode="External"/><Relationship Id="rId10" Type="http://schemas.openxmlformats.org/officeDocument/2006/relationships/hyperlink" Target="https://arxiv.org/abs/1402.2237" TargetMode="External"/><Relationship Id="rId11" Type="http://schemas.openxmlformats.org/officeDocument/2006/relationships/hyperlink" Target="https://arxiv.org/abs/1901.01930" TargetMode="External"/><Relationship Id="rId12" Type="http://schemas.openxmlformats.org/officeDocument/2006/relationships/hyperlink" Target="https://arxiv.org/abs/1302.3292" TargetMode="External"/><Relationship Id="rId13" Type="http://schemas.openxmlformats.org/officeDocument/2006/relationships/hyperlink" Target="https://fbswiki.org/wiki/index.php/Feedback_Systems%3A_An_Introduction_for_Scientists_and_Engineers" TargetMode="External"/><Relationship Id="rId14" Type="http://schemas.openxmlformats.org/officeDocument/2006/relationships/hyperlink" Target="https://authors.library.caltech.edu/records/d6857-zcg61" TargetMode="External"/><Relationship Id="rId15" Type="http://schemas.openxmlformats.org/officeDocument/2006/relationships/hyperlink" Target="https://ntrs.nasa.gov/citations/20240006522" TargetMode="External"/><Relationship Id="rId16" Type="http://schemas.openxmlformats.org/officeDocument/2006/relationships/hyperlink" Target="https://arxiv.org/abs/1606.06570" TargetMode="External"/><Relationship Id="rId17" Type="http://schemas.openxmlformats.org/officeDocument/2006/relationships/hyperlink" Target="https://arxiv.org/abs/1704.02051" TargetMode="External"/><Relationship Id="rId18" Type="http://schemas.openxmlformats.org/officeDocument/2006/relationships/hyperlink" Target="https://quantum.cloud.ibm.com/docs/en/api/qiskit/2.3/qiskit.circuit.CommutationChecker" TargetMode="External"/><Relationship Id="rId19" Type="http://schemas.openxmlformats.org/officeDocument/2006/relationships/hyperlink" Target="https://doi.org/10.1017/S0960129597002375" TargetMode="External"/><Relationship Id="rId20" Type="http://schemas.openxmlformats.org/officeDocument/2006/relationships/hyperlink" Target="https://doi.org/10.1112/jlms/s1-17.1.34" TargetMode="External"/><Relationship Id="rId21" Type="http://schemas.openxmlformats.org/officeDocument/2006/relationships/header" Target="header1.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Transition Protocol v1.2 Candidate</dc:title>
  <dc:subject>Proposed concurrency, consequence, and exploration profile</dc:subject>
  <dc:creator/>
  <cp:keywords>state transition protocol, concurrency, effects, calibration, provenance</cp:keywords>
  <dc:description>Candidate; not accepted</dc:description>
  <cp:lastModifiedBy/>
  <cp:revision>1</cp:revision>
  <dcterms:created xsi:type="dcterms:W3CDTF">2013-12-23T23:15:00Z</dcterms:created>
  <dcterms:modified xsi:type="dcterms:W3CDTF">2013-12-23T23:15:00Z</dcterms:modified>
  <cp:category/>
</cp:coreProperties>
</file>